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76" w:rsidRPr="00B66C76" w:rsidRDefault="00B66C76" w:rsidP="00B66C76">
      <w:pPr>
        <w:jc w:val="center"/>
        <w:rPr>
          <w:rFonts w:ascii="Arial" w:eastAsia="Times New Roman" w:hAnsi="Arial" w:cs="Arial"/>
          <w:color w:val="000000"/>
          <w:sz w:val="18"/>
          <w:szCs w:val="18"/>
          <w:lang w:eastAsia="es-CO"/>
        </w:rPr>
      </w:pPr>
      <w:r w:rsidRPr="00B66C76">
        <w:rPr>
          <w:rFonts w:ascii="Segoe UI" w:eastAsia="Times New Roman" w:hAnsi="Segoe UI" w:cs="Segoe UI"/>
          <w:b/>
          <w:bCs/>
          <w:color w:val="0000FF"/>
          <w:sz w:val="28"/>
          <w:szCs w:val="28"/>
          <w:lang w:eastAsia="es-CO"/>
        </w:rPr>
        <w:t xml:space="preserve">OFICIO </w:t>
      </w:r>
      <w:proofErr w:type="spellStart"/>
      <w:r w:rsidRPr="00B66C76">
        <w:rPr>
          <w:rFonts w:ascii="Segoe UI" w:eastAsia="Times New Roman" w:hAnsi="Segoe UI" w:cs="Segoe UI"/>
          <w:b/>
          <w:bCs/>
          <w:color w:val="0000FF"/>
          <w:sz w:val="28"/>
          <w:szCs w:val="28"/>
          <w:lang w:eastAsia="es-CO"/>
        </w:rPr>
        <w:t>Nº</w:t>
      </w:r>
      <w:proofErr w:type="spellEnd"/>
      <w:r w:rsidRPr="00B66C76">
        <w:rPr>
          <w:rFonts w:ascii="Segoe UI" w:eastAsia="Times New Roman" w:hAnsi="Segoe UI" w:cs="Segoe UI"/>
          <w:b/>
          <w:bCs/>
          <w:color w:val="0000FF"/>
          <w:sz w:val="28"/>
          <w:szCs w:val="28"/>
          <w:lang w:eastAsia="es-CO"/>
        </w:rPr>
        <w:t xml:space="preserve"> 0250 [006184]</w:t>
      </w:r>
    </w:p>
    <w:p w:rsidR="00B66C76" w:rsidRPr="00B66C76" w:rsidRDefault="00B66C76" w:rsidP="00B66C76">
      <w:pPr>
        <w:jc w:val="center"/>
        <w:rPr>
          <w:rFonts w:ascii="Arial" w:eastAsia="Times New Roman" w:hAnsi="Arial" w:cs="Arial"/>
          <w:color w:val="000000"/>
          <w:sz w:val="18"/>
          <w:szCs w:val="18"/>
          <w:lang w:eastAsia="es-CO"/>
        </w:rPr>
      </w:pPr>
      <w:r w:rsidRPr="00B66C76">
        <w:rPr>
          <w:rFonts w:ascii="Segoe UI" w:eastAsia="Times New Roman" w:hAnsi="Segoe UI" w:cs="Segoe UI"/>
          <w:b/>
          <w:bCs/>
          <w:color w:val="0000FF"/>
          <w:sz w:val="28"/>
          <w:szCs w:val="28"/>
          <w:lang w:eastAsia="es-CO"/>
        </w:rPr>
        <w:t>12-03-2019</w:t>
      </w:r>
    </w:p>
    <w:p w:rsidR="00B66C76" w:rsidRPr="00B66C76" w:rsidRDefault="00B66C76" w:rsidP="00B66C76">
      <w:pPr>
        <w:jc w:val="center"/>
        <w:rPr>
          <w:rFonts w:ascii="Arial" w:eastAsia="Times New Roman" w:hAnsi="Arial" w:cs="Arial"/>
          <w:color w:val="000000"/>
          <w:sz w:val="18"/>
          <w:szCs w:val="18"/>
          <w:lang w:eastAsia="es-CO"/>
        </w:rPr>
      </w:pPr>
      <w:r w:rsidRPr="00B66C76">
        <w:rPr>
          <w:rFonts w:ascii="Segoe UI" w:eastAsia="Times New Roman" w:hAnsi="Segoe UI" w:cs="Segoe UI"/>
          <w:b/>
          <w:bCs/>
          <w:color w:val="0000FF"/>
          <w:sz w:val="28"/>
          <w:szCs w:val="28"/>
          <w:lang w:eastAsia="es-CO"/>
        </w:rPr>
        <w:t>DIAN</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b/>
          <w:bCs/>
          <w:color w:val="0000FF"/>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b/>
          <w:bCs/>
          <w:color w:val="0000FF"/>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Dirección de Gestión Jurídica</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Bogotá, D. C.</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100202208 - 0250</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Referencia:</w:t>
      </w:r>
      <w:r w:rsidRPr="00B66C76">
        <w:rPr>
          <w:rFonts w:ascii="Segoe UI" w:eastAsia="Times New Roman" w:hAnsi="Segoe UI" w:cs="Segoe UI"/>
          <w:color w:val="000000"/>
          <w:sz w:val="22"/>
          <w:lang w:eastAsia="es-CO"/>
        </w:rPr>
        <w:t> Radicado 100008932 del 08/02/2019</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5113"/>
      </w:tblGrid>
      <w:tr w:rsidR="00B66C76" w:rsidRPr="00B66C76" w:rsidTr="00B66C76">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b/>
                <w:bCs/>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szCs w:val="20"/>
                <w:lang w:eastAsia="es-CO"/>
              </w:rPr>
              <w:t>Impuesto sobre la Renta y Complementarios</w:t>
            </w:r>
          </w:p>
        </w:tc>
      </w:tr>
      <w:tr w:rsidR="00B66C76" w:rsidRPr="00B66C76" w:rsidTr="00B66C76">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b/>
                <w:bCs/>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szCs w:val="20"/>
                <w:lang w:eastAsia="es-CO"/>
              </w:rPr>
              <w:t>Ganancia Ocasional</w:t>
            </w:r>
          </w:p>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szCs w:val="20"/>
                <w:lang w:eastAsia="es-CO"/>
              </w:rPr>
              <w:t>Actos que Implican Transferencia de Dominio Donación</w:t>
            </w:r>
          </w:p>
        </w:tc>
      </w:tr>
      <w:tr w:rsidR="00B66C76" w:rsidRPr="00B66C76" w:rsidTr="00B66C76">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b/>
                <w:bCs/>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66C76" w:rsidRPr="00B66C76" w:rsidRDefault="00B66C76" w:rsidP="00B66C76">
            <w:pPr>
              <w:rPr>
                <w:rFonts w:ascii="Arial" w:eastAsia="Times New Roman" w:hAnsi="Arial" w:cs="Arial"/>
                <w:sz w:val="24"/>
                <w:szCs w:val="24"/>
                <w:lang w:eastAsia="es-CO"/>
              </w:rPr>
            </w:pPr>
            <w:r w:rsidRPr="00B66C76">
              <w:rPr>
                <w:rFonts w:ascii="Segoe UI" w:eastAsia="Times New Roman" w:hAnsi="Segoe UI" w:cs="Segoe UI"/>
                <w:szCs w:val="20"/>
                <w:lang w:eastAsia="es-CO"/>
              </w:rPr>
              <w:t>Artículos </w:t>
            </w:r>
            <w:hyperlink r:id="rId7" w:tooltip="Estatuto Tributario CETA" w:history="1">
              <w:r w:rsidRPr="00B66C76">
                <w:rPr>
                  <w:rFonts w:ascii="Segoe UI" w:eastAsia="Times New Roman" w:hAnsi="Segoe UI" w:cs="Segoe UI"/>
                  <w:color w:val="0089E1"/>
                  <w:szCs w:val="20"/>
                  <w:u w:val="single"/>
                  <w:lang w:eastAsia="es-CO"/>
                </w:rPr>
                <w:t>90</w:t>
              </w:r>
            </w:hyperlink>
            <w:r w:rsidRPr="00B66C76">
              <w:rPr>
                <w:rFonts w:ascii="Segoe UI" w:eastAsia="Times New Roman" w:hAnsi="Segoe UI" w:cs="Segoe UI"/>
                <w:szCs w:val="20"/>
                <w:lang w:eastAsia="es-CO"/>
              </w:rPr>
              <w:t>, </w:t>
            </w:r>
            <w:hyperlink r:id="rId8" w:tooltip="Estatuto Tributario CETA" w:history="1">
              <w:r w:rsidRPr="00B66C76">
                <w:rPr>
                  <w:rFonts w:ascii="Segoe UI" w:eastAsia="Times New Roman" w:hAnsi="Segoe UI" w:cs="Segoe UI"/>
                  <w:color w:val="0089E1"/>
                  <w:szCs w:val="20"/>
                  <w:u w:val="single"/>
                  <w:lang w:eastAsia="es-CO"/>
                </w:rPr>
                <w:t>302</w:t>
              </w:r>
            </w:hyperlink>
            <w:r w:rsidRPr="00B66C76">
              <w:rPr>
                <w:rFonts w:ascii="Segoe UI" w:eastAsia="Times New Roman" w:hAnsi="Segoe UI" w:cs="Segoe UI"/>
                <w:szCs w:val="20"/>
                <w:lang w:eastAsia="es-CO"/>
              </w:rPr>
              <w:t> y </w:t>
            </w:r>
            <w:hyperlink r:id="rId9" w:tooltip="Estatuto Tributario CETA" w:history="1">
              <w:r w:rsidRPr="00B66C76">
                <w:rPr>
                  <w:rFonts w:ascii="Segoe UI" w:eastAsia="Times New Roman" w:hAnsi="Segoe UI" w:cs="Segoe UI"/>
                  <w:color w:val="0089E1"/>
                  <w:szCs w:val="20"/>
                  <w:u w:val="single"/>
                  <w:lang w:eastAsia="es-CO"/>
                </w:rPr>
                <w:t>303</w:t>
              </w:r>
            </w:hyperlink>
            <w:r w:rsidRPr="00B66C76">
              <w:rPr>
                <w:rFonts w:ascii="Segoe UI" w:eastAsia="Times New Roman" w:hAnsi="Segoe UI" w:cs="Segoe UI"/>
                <w:szCs w:val="20"/>
                <w:lang w:eastAsia="es-CO"/>
              </w:rPr>
              <w:t> del Estatuto Tributario</w:t>
            </w:r>
          </w:p>
        </w:tc>
      </w:tr>
    </w:tbl>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Cordial saludo, señor Ortiz:</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De conformidad con el artículo 19 del Decreto número 4048 de 2008 es función de esta Dirección absolver de modo general las consultas escritas que se formulen sobre interpretación y aplicación de las normas tributarias de carácter nacional, aduaneras y cambiarias en lo de competencia de esta entidad.</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xml:space="preserve">En igual sentido, los conceptos que se emiten por este despacho tienen como fundamento las circunstancias presentadas en las consultas y buscan atender los supuestos de hecho y derecho expuestos en estas en forma general; por ello, se recomienda que la lectura </w:t>
      </w:r>
      <w:proofErr w:type="gramStart"/>
      <w:r w:rsidRPr="00B66C76">
        <w:rPr>
          <w:rFonts w:ascii="Segoe UI" w:eastAsia="Times New Roman" w:hAnsi="Segoe UI" w:cs="Segoe UI"/>
          <w:color w:val="000000"/>
          <w:sz w:val="22"/>
          <w:lang w:eastAsia="es-CO"/>
        </w:rPr>
        <w:t>del mismo</w:t>
      </w:r>
      <w:proofErr w:type="gramEnd"/>
      <w:r w:rsidRPr="00B66C76">
        <w:rPr>
          <w:rFonts w:ascii="Segoe UI" w:eastAsia="Times New Roman" w:hAnsi="Segoe UI" w:cs="Segoe UI"/>
          <w:color w:val="000000"/>
          <w:sz w:val="22"/>
          <w:lang w:eastAsia="es-CO"/>
        </w:rPr>
        <w:t xml:space="preserve"> se haga en forma integral para la comprensión de su alcance, el cual no debe extenderse a situaciones diferentes a las planteadas y estudiadas.</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En este contexto se atenderán las solicitudes en sentido general para señalar las normas que regulan las ganancias ocasionales. En complemento, se indicará la normatividad relacionada con la enajenación de bienes inmuebles contenida en la Ley 1943 de 2018.</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xml:space="preserve">Establecido lo anterior, corresponde al contribuyente revisar las normas aplicables de acuerdo con el negocio u operación que esté celebrando y valorar los bienes de acuerdo con las reglas contenidas en las disposiciones; habida cuenta que no es posible señalar en forma particular el procedimiento que le corresponde seguir para los casos hipotéticos </w:t>
      </w:r>
      <w:r w:rsidRPr="00B66C76">
        <w:rPr>
          <w:rFonts w:ascii="Segoe UI" w:eastAsia="Times New Roman" w:hAnsi="Segoe UI" w:cs="Segoe UI"/>
          <w:color w:val="000000"/>
          <w:sz w:val="22"/>
          <w:lang w:eastAsia="es-CO"/>
        </w:rPr>
        <w:lastRenderedPageBreak/>
        <w:t>planteados en la consulta; en tanto, una actuación de esta naturaleza constituye una asesoría de tipo particular que no es de competencia de esta entidad.</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De acuerdo con lo explicado se atenderán los diferentes temas en forma general y en lo de nuestras competencias tributarias, sobre ganancias ocasionales de acuerdo con las normas del Estatuto Tributario.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1. En la liquidación de la sociedad conyugal se debe identificar la renuncia a gananciales como una operación que al ser gratuita genera ingresos por ganancias ocasionales obtenidos con motivo de la liquidación de la sociedad conyugal, la cual es una actuación que es de la esfera de responsabilidad de las partes intervinientes.</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Las normas pertinentes del Estatuto Tributario disponen:</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hyperlink r:id="rId10" w:tooltip="Estatuto Tributario CETA" w:history="1">
        <w:r w:rsidRPr="00B66C76">
          <w:rPr>
            <w:rFonts w:ascii="Segoe UI" w:eastAsia="Times New Roman" w:hAnsi="Segoe UI" w:cs="Segoe UI"/>
            <w:b/>
            <w:bCs/>
            <w:color w:val="0089E1"/>
            <w:sz w:val="22"/>
            <w:u w:val="single"/>
            <w:lang w:eastAsia="es-CO"/>
          </w:rPr>
          <w:t>Artículo 302</w:t>
        </w:r>
      </w:hyperlink>
      <w:r w:rsidRPr="00B66C76">
        <w:rPr>
          <w:rFonts w:ascii="Segoe UI" w:eastAsia="Times New Roman" w:hAnsi="Segoe UI" w:cs="Segoe UI"/>
          <w:b/>
          <w:bCs/>
          <w:color w:val="000000"/>
          <w:sz w:val="22"/>
          <w:lang w:eastAsia="es-CO"/>
        </w:rPr>
        <w:t>. </w:t>
      </w:r>
      <w:r w:rsidRPr="00B66C76">
        <w:rPr>
          <w:rFonts w:ascii="Segoe UI" w:eastAsia="Times New Roman" w:hAnsi="Segoe UI" w:cs="Segoe UI"/>
          <w:b/>
          <w:bCs/>
          <w:i/>
          <w:iCs/>
          <w:color w:val="000000"/>
          <w:sz w:val="22"/>
          <w:lang w:eastAsia="es-CO"/>
        </w:rPr>
        <w:t>Origen</w:t>
      </w:r>
      <w:r w:rsidRPr="00B66C76">
        <w:rPr>
          <w:rFonts w:ascii="Segoe UI" w:eastAsia="Times New Roman" w:hAnsi="Segoe UI" w:cs="Segoe UI"/>
          <w:b/>
          <w:bCs/>
          <w:color w:val="000000"/>
          <w:sz w:val="22"/>
          <w:lang w:eastAsia="es-CO"/>
        </w:rPr>
        <w:t>.</w:t>
      </w:r>
      <w:r w:rsidRPr="00B66C76">
        <w:rPr>
          <w:rFonts w:ascii="Segoe UI" w:eastAsia="Times New Roman" w:hAnsi="Segoe UI" w:cs="Segoe UI"/>
          <w:color w:val="000000"/>
          <w:sz w:val="22"/>
          <w:lang w:eastAsia="es-CO"/>
        </w:rPr>
        <w:t> &lt;Artículo modificado por el artículo 102 de la Ley 1607 de 2012. El nuevo texto es el siguiente:&gt; </w:t>
      </w:r>
      <w:r w:rsidRPr="00B66C76">
        <w:rPr>
          <w:rFonts w:ascii="Segoe UI" w:eastAsia="Times New Roman" w:hAnsi="Segoe UI" w:cs="Segoe UI"/>
          <w:sz w:val="22"/>
          <w:u w:val="single"/>
          <w:lang w:eastAsia="es-CO"/>
        </w:rPr>
        <w:t>Se consideran ganancias ocasionales para los contribuyentes sometidos a este impuesto, las provenientes de herencias, legados, donaciones, o cualquier otro acto jurídico celebrado inter vivos a título gratuito</w:t>
      </w:r>
      <w:r w:rsidRPr="00B66C76">
        <w:rPr>
          <w:rFonts w:ascii="Segoe UI" w:eastAsia="Times New Roman" w:hAnsi="Segoe UI" w:cs="Segoe UI"/>
          <w:color w:val="000000"/>
          <w:sz w:val="22"/>
          <w:lang w:eastAsia="es-CO"/>
        </w:rPr>
        <w:t>, y lo percibido como porción conyugal.</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hyperlink r:id="rId11" w:tooltip="Estatuto Tributario CETA" w:history="1">
        <w:r w:rsidRPr="00B66C76">
          <w:rPr>
            <w:rFonts w:ascii="Segoe UI" w:eastAsia="Times New Roman" w:hAnsi="Segoe UI" w:cs="Segoe UI"/>
            <w:b/>
            <w:bCs/>
            <w:color w:val="0089E1"/>
            <w:sz w:val="22"/>
            <w:u w:val="single"/>
            <w:lang w:eastAsia="es-CO"/>
          </w:rPr>
          <w:t>Artículo 303</w:t>
        </w:r>
      </w:hyperlink>
      <w:r w:rsidRPr="00B66C76">
        <w:rPr>
          <w:rFonts w:ascii="Segoe UI" w:eastAsia="Times New Roman" w:hAnsi="Segoe UI" w:cs="Segoe UI"/>
          <w:b/>
          <w:bCs/>
          <w:color w:val="000000"/>
          <w:sz w:val="22"/>
          <w:lang w:eastAsia="es-CO"/>
        </w:rPr>
        <w:t>. </w:t>
      </w:r>
      <w:r w:rsidRPr="00B66C76">
        <w:rPr>
          <w:rFonts w:ascii="Segoe UI" w:eastAsia="Times New Roman" w:hAnsi="Segoe UI" w:cs="Segoe UI"/>
          <w:b/>
          <w:bCs/>
          <w:i/>
          <w:iCs/>
          <w:color w:val="000000"/>
          <w:sz w:val="22"/>
          <w:lang w:eastAsia="es-CO"/>
        </w:rPr>
        <w:t>Cómo se determina su valor</w:t>
      </w:r>
      <w:r w:rsidRPr="00B66C76">
        <w:rPr>
          <w:rFonts w:ascii="Segoe UI" w:eastAsia="Times New Roman" w:hAnsi="Segoe UI" w:cs="Segoe UI"/>
          <w:b/>
          <w:bCs/>
          <w:color w:val="000000"/>
          <w:sz w:val="22"/>
          <w:lang w:eastAsia="es-CO"/>
        </w:rPr>
        <w:t>.</w:t>
      </w:r>
      <w:r w:rsidRPr="00B66C76">
        <w:rPr>
          <w:rFonts w:ascii="Segoe UI" w:eastAsia="Times New Roman" w:hAnsi="Segoe UI" w:cs="Segoe UI"/>
          <w:color w:val="000000"/>
          <w:sz w:val="22"/>
          <w:lang w:eastAsia="es-CO"/>
        </w:rPr>
        <w:t> &lt;Artículo modificado por el artículo 103 de la Ley 1607 de 2012. El nuevo texto es el siguiente:&gt; El valor de los bienes y derechos que se tendrá en cuenta para efectos de determinar la base gravable del impuesto a las ganancias ocasionales a las que se refiere el </w:t>
      </w:r>
      <w:hyperlink r:id="rId12" w:tooltip="Estatuto Tributario CETA" w:history="1">
        <w:r w:rsidRPr="00B66C76">
          <w:rPr>
            <w:rFonts w:ascii="Segoe UI" w:eastAsia="Times New Roman" w:hAnsi="Segoe UI" w:cs="Segoe UI"/>
            <w:color w:val="0089E1"/>
            <w:sz w:val="22"/>
            <w:u w:val="single"/>
            <w:lang w:eastAsia="es-CO"/>
          </w:rPr>
          <w:t>artículo 302</w:t>
        </w:r>
      </w:hyperlink>
      <w:r w:rsidRPr="00B66C76">
        <w:rPr>
          <w:rFonts w:ascii="Segoe UI" w:eastAsia="Times New Roman" w:hAnsi="Segoe UI" w:cs="Segoe UI"/>
          <w:color w:val="000000"/>
          <w:sz w:val="22"/>
          <w:lang w:eastAsia="es-CO"/>
        </w:rPr>
        <w:t> de este Estatuto </w:t>
      </w:r>
      <w:r w:rsidRPr="00B66C76">
        <w:rPr>
          <w:rFonts w:ascii="Segoe UI" w:eastAsia="Times New Roman" w:hAnsi="Segoe UI" w:cs="Segoe UI"/>
          <w:sz w:val="22"/>
          <w:u w:val="single"/>
          <w:lang w:eastAsia="es-CO"/>
        </w:rPr>
        <w:t>será el valor que tengan dichos bienes y derechos a 31 de diciembre del año inmediatamente anterior a la fecha de la liquidación de la sucesión o del perfeccionamiento del acto de donación o del acto jurídico inter vivos celebrado a título gratuito, según el caso</w:t>
      </w:r>
      <w:r w:rsidRPr="00B66C76">
        <w:rPr>
          <w:rFonts w:ascii="Segoe UI" w:eastAsia="Times New Roman" w:hAnsi="Segoe UI" w:cs="Segoe UI"/>
          <w:color w:val="000000"/>
          <w:sz w:val="22"/>
          <w:lang w:eastAsia="es-CO"/>
        </w:rPr>
        <w:t>. En el caso de los bienes y derechos que se relacionan a continuación, el valor se determinará de conformidad con las siguientes reglas: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1. El valor de las sumas dinerarias será el de su valor nominal.</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2. El valor del oro y demás metales preciosos será al valor comercial de tales bienes.</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3. El valor de los vehículos automotores será el del avalúo comercial que fije anualmente el Ministerio de Transporte mediante resolución.</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4. El valor de las acciones, aportes y demás derechos en sociedades será el determinado de conformidad con lo establecido en el </w:t>
      </w:r>
      <w:hyperlink r:id="rId13" w:tooltip="Estatuto Tributario CETA" w:history="1">
        <w:r w:rsidRPr="00B66C76">
          <w:rPr>
            <w:rFonts w:ascii="Segoe UI" w:eastAsia="Times New Roman" w:hAnsi="Segoe UI" w:cs="Segoe UI"/>
            <w:color w:val="0089E1"/>
            <w:sz w:val="22"/>
            <w:u w:val="single"/>
            <w:lang w:eastAsia="es-CO"/>
          </w:rPr>
          <w:t>artículo 272</w:t>
        </w:r>
      </w:hyperlink>
      <w:r w:rsidRPr="00B66C76">
        <w:rPr>
          <w:rFonts w:ascii="Segoe UI" w:eastAsia="Times New Roman" w:hAnsi="Segoe UI" w:cs="Segoe UI"/>
          <w:color w:val="000000"/>
          <w:sz w:val="22"/>
          <w:lang w:eastAsia="es-CO"/>
        </w:rPr>
        <w:t> de este Estatuto.</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5. </w:t>
      </w:r>
      <w:r w:rsidRPr="00B66C76">
        <w:rPr>
          <w:rFonts w:ascii="Segoe UI" w:eastAsia="Times New Roman" w:hAnsi="Segoe UI" w:cs="Segoe UI"/>
          <w:sz w:val="22"/>
          <w:u w:val="single"/>
          <w:lang w:eastAsia="es-CO"/>
        </w:rPr>
        <w:t>El valor de los créditos será el determinado de conformidad con lo establecido en el </w:t>
      </w:r>
      <w:hyperlink r:id="rId14" w:tooltip="Estatuto Tributario CETA" w:history="1">
        <w:r w:rsidRPr="00B66C76">
          <w:rPr>
            <w:rFonts w:ascii="Segoe UI" w:eastAsia="Times New Roman" w:hAnsi="Segoe UI" w:cs="Segoe UI"/>
            <w:color w:val="0089E1"/>
            <w:sz w:val="22"/>
            <w:u w:val="single"/>
            <w:lang w:eastAsia="es-CO"/>
          </w:rPr>
          <w:t>artículo 270</w:t>
        </w:r>
      </w:hyperlink>
      <w:r w:rsidRPr="00B66C76">
        <w:rPr>
          <w:rFonts w:ascii="Segoe UI" w:eastAsia="Times New Roman" w:hAnsi="Segoe UI" w:cs="Segoe UI"/>
          <w:sz w:val="22"/>
          <w:u w:val="single"/>
          <w:lang w:eastAsia="es-CO"/>
        </w:rPr>
        <w:t> de este Estatuto</w:t>
      </w:r>
      <w:r w:rsidRPr="00B66C76">
        <w:rPr>
          <w:rFonts w:ascii="Segoe UI" w:eastAsia="Times New Roman" w:hAnsi="Segoe UI" w:cs="Segoe UI"/>
          <w:color w:val="000000"/>
          <w:sz w:val="22"/>
          <w:lang w:eastAsia="es-CO"/>
        </w:rPr>
        <w:t>.</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lastRenderedPageBreak/>
        <w:t>7. El valor de los títulos, bonos, certificados y otros documentos negociables que generan intereses y rendimientos financieros será el determinado de conformidad con el </w:t>
      </w:r>
      <w:hyperlink r:id="rId15" w:tooltip="Estatuto Tributario CETA" w:history="1">
        <w:r w:rsidRPr="00B66C76">
          <w:rPr>
            <w:rFonts w:ascii="Segoe UI" w:eastAsia="Times New Roman" w:hAnsi="Segoe UI" w:cs="Segoe UI"/>
            <w:color w:val="0089E1"/>
            <w:sz w:val="22"/>
            <w:u w:val="single"/>
            <w:lang w:eastAsia="es-CO"/>
          </w:rPr>
          <w:t>artículo 271</w:t>
        </w:r>
      </w:hyperlink>
      <w:r w:rsidRPr="00B66C76">
        <w:rPr>
          <w:rFonts w:ascii="Segoe UI" w:eastAsia="Times New Roman" w:hAnsi="Segoe UI" w:cs="Segoe UI"/>
          <w:color w:val="000000"/>
          <w:sz w:val="22"/>
          <w:lang w:eastAsia="es-CO"/>
        </w:rPr>
        <w:t> de este Estatuto.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8. El valor de los derechos fiduciarios será el 80% del valor determinado de acuerdo con lo dispuesto en el </w:t>
      </w:r>
      <w:hyperlink r:id="rId16" w:tooltip="Estatuto Tributario CETA" w:history="1">
        <w:r w:rsidRPr="00B66C76">
          <w:rPr>
            <w:rFonts w:ascii="Segoe UI" w:eastAsia="Times New Roman" w:hAnsi="Segoe UI" w:cs="Segoe UI"/>
            <w:color w:val="0089E1"/>
            <w:sz w:val="22"/>
            <w:u w:val="single"/>
            <w:lang w:eastAsia="es-CO"/>
          </w:rPr>
          <w:t>artículo 271-1</w:t>
        </w:r>
      </w:hyperlink>
      <w:r w:rsidRPr="00B66C76">
        <w:rPr>
          <w:rFonts w:ascii="Segoe UI" w:eastAsia="Times New Roman" w:hAnsi="Segoe UI" w:cs="Segoe UI"/>
          <w:color w:val="000000"/>
          <w:sz w:val="22"/>
          <w:lang w:eastAsia="es-CO"/>
        </w:rPr>
        <w:t> de este Estatuto.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9. </w:t>
      </w:r>
      <w:r w:rsidRPr="00B66C76">
        <w:rPr>
          <w:rFonts w:ascii="Segoe UI" w:eastAsia="Times New Roman" w:hAnsi="Segoe UI" w:cs="Segoe UI"/>
          <w:sz w:val="22"/>
          <w:u w:val="single"/>
          <w:lang w:eastAsia="es-CO"/>
        </w:rPr>
        <w:t>El valor de los inmuebles será el determinado de conformidad con el </w:t>
      </w:r>
      <w:hyperlink r:id="rId17" w:tooltip="Estatuto Tributario CETA" w:history="1">
        <w:r w:rsidRPr="00B66C76">
          <w:rPr>
            <w:rFonts w:ascii="Segoe UI" w:eastAsia="Times New Roman" w:hAnsi="Segoe UI" w:cs="Segoe UI"/>
            <w:color w:val="0089E1"/>
            <w:sz w:val="22"/>
            <w:u w:val="single"/>
            <w:lang w:eastAsia="es-CO"/>
          </w:rPr>
          <w:t>artículo 277</w:t>
        </w:r>
      </w:hyperlink>
      <w:r w:rsidRPr="00B66C76">
        <w:rPr>
          <w:rFonts w:ascii="Segoe UI" w:eastAsia="Times New Roman" w:hAnsi="Segoe UI" w:cs="Segoe UI"/>
          <w:sz w:val="22"/>
          <w:u w:val="single"/>
          <w:lang w:eastAsia="es-CO"/>
        </w:rPr>
        <w:t> de este Estatuto.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xml:space="preserve">10. El valor de las rentas o pagos periódicos que provengan de fideicomisos, </w:t>
      </w:r>
      <w:proofErr w:type="spellStart"/>
      <w:r w:rsidRPr="00B66C76">
        <w:rPr>
          <w:rFonts w:ascii="Segoe UI" w:eastAsia="Times New Roman" w:hAnsi="Segoe UI" w:cs="Segoe UI"/>
          <w:color w:val="000000"/>
          <w:sz w:val="22"/>
          <w:lang w:eastAsia="es-CO"/>
        </w:rPr>
        <w:t>trusts</w:t>
      </w:r>
      <w:proofErr w:type="spellEnd"/>
      <w:r w:rsidRPr="00B66C76">
        <w:rPr>
          <w:rFonts w:ascii="Segoe UI" w:eastAsia="Times New Roman" w:hAnsi="Segoe UI" w:cs="Segoe UI"/>
          <w:color w:val="000000"/>
          <w:sz w:val="22"/>
          <w:lang w:eastAsia="es-CO"/>
        </w:rPr>
        <w:t>, fundaciones de interés privado y otros vehículos semejantes o asimilables, establecidos en Colombia o en el exterior, a favor de personas naturales residentes en el país será el valor total de las respectivas rentas o pagos periódicos.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11. El valor del derecho de usufructo temporal se determinará en proporción al valor total de los bienes entregados en usufructo, establecido de acuerdo con las disposiciones consagradas en este artículo, a razón de un 5 %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Parágrafo 1°.</w:t>
      </w:r>
      <w:r w:rsidRPr="00B66C76">
        <w:rPr>
          <w:rFonts w:ascii="Segoe UI" w:eastAsia="Times New Roman" w:hAnsi="Segoe UI" w:cs="Segoe UI"/>
          <w:color w:val="000000"/>
          <w:sz w:val="22"/>
          <w:lang w:eastAsia="es-CO"/>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Parágrafo 2°.</w:t>
      </w:r>
      <w:r w:rsidRPr="00B66C76">
        <w:rPr>
          <w:rFonts w:ascii="Segoe UI" w:eastAsia="Times New Roman" w:hAnsi="Segoe UI" w:cs="Segoe UI"/>
          <w:color w:val="000000"/>
          <w:sz w:val="22"/>
          <w:lang w:eastAsia="es-CO"/>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Parágrafo 3°.</w:t>
      </w:r>
      <w:r w:rsidRPr="00B66C76">
        <w:rPr>
          <w:rFonts w:ascii="Segoe UI" w:eastAsia="Times New Roman" w:hAnsi="Segoe UI" w:cs="Segoe UI"/>
          <w:color w:val="000000"/>
          <w:sz w:val="22"/>
          <w:lang w:eastAsia="es-CO"/>
        </w:rPr>
        <w:t> No se generarán ganancias ocasionales con ocasión de la consolidación del usufructo en el nudo propietario.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Parágrafo 4°.</w:t>
      </w:r>
      <w:r w:rsidRPr="00B66C76">
        <w:rPr>
          <w:rFonts w:ascii="Segoe UI" w:eastAsia="Times New Roman" w:hAnsi="Segoe UI" w:cs="Segoe UI"/>
          <w:color w:val="000000"/>
          <w:sz w:val="22"/>
          <w:lang w:eastAsia="es-CO"/>
        </w:rPr>
        <w:t> </w:t>
      </w:r>
      <w:r w:rsidRPr="00B66C76">
        <w:rPr>
          <w:rFonts w:ascii="Segoe UI" w:eastAsia="Times New Roman" w:hAnsi="Segoe UI" w:cs="Segoe UI"/>
          <w:sz w:val="22"/>
          <w:u w:val="single"/>
          <w:lang w:eastAsia="es-CO"/>
        </w:rPr>
        <w:t>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r w:rsidRPr="00B66C76">
        <w:rPr>
          <w:rFonts w:ascii="Segoe UI" w:eastAsia="Times New Roman" w:hAnsi="Segoe UI" w:cs="Segoe UI"/>
          <w:color w:val="000000"/>
          <w:sz w:val="22"/>
          <w:lang w:eastAsia="es-CO"/>
        </w:rPr>
        <w:t>. (Subrayados fuera de texto).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2. En lo relacionado con la Ley de Financiamiento, última reforma al Estatuto Tributario resulta pertinente señalar que el artículo 53 de la Ley 1943 de 2018 modificó el </w:t>
      </w:r>
      <w:hyperlink r:id="rId18" w:tooltip="Estatuto Tributario CETA" w:history="1">
        <w:r w:rsidRPr="00B66C76">
          <w:rPr>
            <w:rFonts w:ascii="Segoe UI" w:eastAsia="Times New Roman" w:hAnsi="Segoe UI" w:cs="Segoe UI"/>
            <w:color w:val="0089E1"/>
            <w:sz w:val="22"/>
            <w:u w:val="single"/>
            <w:lang w:eastAsia="es-CO"/>
          </w:rPr>
          <w:t>artículo 90</w:t>
        </w:r>
      </w:hyperlink>
      <w:r w:rsidRPr="00B66C76">
        <w:rPr>
          <w:rFonts w:ascii="Segoe UI" w:eastAsia="Times New Roman" w:hAnsi="Segoe UI" w:cs="Segoe UI"/>
          <w:color w:val="000000"/>
          <w:sz w:val="22"/>
          <w:lang w:eastAsia="es-CO"/>
        </w:rPr>
        <w:t> del Estatuto Tributario y dispuso: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Artículo 53.</w:t>
      </w:r>
      <w:r w:rsidRPr="00B66C76">
        <w:rPr>
          <w:rFonts w:ascii="Segoe UI" w:eastAsia="Times New Roman" w:hAnsi="Segoe UI" w:cs="Segoe UI"/>
          <w:color w:val="000000"/>
          <w:sz w:val="22"/>
          <w:lang w:eastAsia="es-CO"/>
        </w:rPr>
        <w:t> Modifíquese el </w:t>
      </w:r>
      <w:hyperlink r:id="rId19" w:tooltip="Estatuto Tributario CETA" w:history="1">
        <w:r w:rsidRPr="00B66C76">
          <w:rPr>
            <w:rFonts w:ascii="Segoe UI" w:eastAsia="Times New Roman" w:hAnsi="Segoe UI" w:cs="Segoe UI"/>
            <w:color w:val="0089E1"/>
            <w:sz w:val="22"/>
            <w:u w:val="single"/>
            <w:lang w:eastAsia="es-CO"/>
          </w:rPr>
          <w:t>artículo 90</w:t>
        </w:r>
      </w:hyperlink>
      <w:r w:rsidRPr="00B66C76">
        <w:rPr>
          <w:rFonts w:ascii="Segoe UI" w:eastAsia="Times New Roman" w:hAnsi="Segoe UI" w:cs="Segoe UI"/>
          <w:color w:val="000000"/>
          <w:sz w:val="22"/>
          <w:lang w:eastAsia="es-CO"/>
        </w:rPr>
        <w:t> del Estatuto Tributario, el cual quedará así:</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lastRenderedPageBreak/>
        <w:t> </w:t>
      </w:r>
    </w:p>
    <w:p w:rsidR="00B66C76" w:rsidRPr="00B66C76" w:rsidRDefault="00B66C76" w:rsidP="00B66C76">
      <w:pPr>
        <w:ind w:left="180"/>
        <w:rPr>
          <w:rFonts w:ascii="Arial" w:eastAsia="Times New Roman" w:hAnsi="Arial" w:cs="Arial"/>
          <w:color w:val="000000"/>
          <w:sz w:val="18"/>
          <w:szCs w:val="18"/>
          <w:lang w:eastAsia="es-CO"/>
        </w:rPr>
      </w:pPr>
      <w:hyperlink r:id="rId20" w:tooltip="Estatuto Tributario CETA" w:history="1">
        <w:r w:rsidRPr="00B66C76">
          <w:rPr>
            <w:rFonts w:ascii="Segoe UI" w:eastAsia="Times New Roman" w:hAnsi="Segoe UI" w:cs="Segoe UI"/>
            <w:b/>
            <w:bCs/>
            <w:color w:val="0089E1"/>
            <w:sz w:val="22"/>
            <w:u w:val="single"/>
            <w:lang w:eastAsia="es-CO"/>
          </w:rPr>
          <w:t>Artículo 90</w:t>
        </w:r>
      </w:hyperlink>
      <w:r w:rsidRPr="00B66C76">
        <w:rPr>
          <w:rFonts w:ascii="Segoe UI" w:eastAsia="Times New Roman" w:hAnsi="Segoe UI" w:cs="Segoe UI"/>
          <w:b/>
          <w:bCs/>
          <w:color w:val="000000"/>
          <w:sz w:val="22"/>
          <w:lang w:eastAsia="es-CO"/>
        </w:rPr>
        <w:t>. </w:t>
      </w:r>
      <w:r w:rsidRPr="00B66C76">
        <w:rPr>
          <w:rFonts w:ascii="Segoe UI" w:eastAsia="Times New Roman" w:hAnsi="Segoe UI" w:cs="Segoe UI"/>
          <w:b/>
          <w:bCs/>
          <w:i/>
          <w:iCs/>
          <w:color w:val="000000"/>
          <w:sz w:val="22"/>
          <w:lang w:eastAsia="es-CO"/>
        </w:rPr>
        <w:t>Determinación de la renta bruta en la enajenación de activos y valor comercial en operaciones sobre bienes y servicios. </w:t>
      </w:r>
      <w:r w:rsidRPr="00B66C76">
        <w:rPr>
          <w:rFonts w:ascii="Segoe UI" w:eastAsia="Times New Roman" w:hAnsi="Segoe UI" w:cs="Segoe UI"/>
          <w:color w:val="000000"/>
          <w:sz w:val="22"/>
          <w:lang w:eastAsia="es-CO"/>
        </w:rPr>
        <w:t>La renta bruta o la pérdida </w:t>
      </w:r>
      <w:r w:rsidRPr="00B66C76">
        <w:rPr>
          <w:rFonts w:ascii="Segoe UI" w:eastAsia="Times New Roman" w:hAnsi="Segoe UI" w:cs="Segoe UI"/>
          <w:sz w:val="22"/>
          <w:u w:val="single"/>
          <w:lang w:eastAsia="es-CO"/>
        </w:rPr>
        <w:t>proveniente de la enajenación de activos a cualquier título</w:t>
      </w:r>
      <w:r w:rsidRPr="00B66C76">
        <w:rPr>
          <w:rFonts w:ascii="Segoe UI" w:eastAsia="Times New Roman" w:hAnsi="Segoe UI" w:cs="Segoe UI"/>
          <w:color w:val="000000"/>
          <w:sz w:val="22"/>
          <w:lang w:eastAsia="es-CO"/>
        </w:rPr>
        <w:t>, está constituida por la diferencia entre el precio de la enajenación y el costo del activo o activos enajenados.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El precio de la enajenación es el valor comercial realizado en dinero o en especie. Para estos efectos será parte del precio el valor comercial de las especies recibidas.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Se tiene por valor comercial el señalado por las partes, el cual deberá corresponder al precio comercial promedio para bienes de la misma especie, en la fecha de su enajenación. Esta previsión también resulta aplicable a los servicios.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Arial" w:eastAsia="Times New Roman" w:hAnsi="Arial" w:cs="Arial"/>
          <w:color w:val="000000"/>
          <w:sz w:val="18"/>
          <w:szCs w:val="18"/>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sz w:val="22"/>
          <w:u w:val="single"/>
          <w:lang w:eastAsia="es-CO"/>
        </w:rPr>
        <w:t>En el caso de bienes raíces, además de lo previsto en esta disposición, no se aceptará un precio inferior al costo, al avalúo catastral ni al autoavalúo, sin perjuicio de la posibilidad de un valor comercial superior</w:t>
      </w:r>
      <w:r w:rsidRPr="00B66C76">
        <w:rPr>
          <w:rFonts w:ascii="Segoe UI" w:eastAsia="Times New Roman" w:hAnsi="Segoe UI" w:cs="Segoe UI"/>
          <w:color w:val="000000"/>
          <w:sz w:val="22"/>
          <w:lang w:eastAsia="es-CO"/>
        </w:rPr>
        <w:t>.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xml:space="preserve">Los inmuebles adquiridos a través de fondos, fiducias, esquemas de promoción inmobiliaria o semejantes, quedarán sometidos a lo previsto en esta disposición. Para el efecto, los beneficiarios de las unidades inmobiliarias serán considerados como </w:t>
      </w:r>
      <w:r w:rsidRPr="00B66C76">
        <w:rPr>
          <w:rFonts w:ascii="Segoe UI" w:eastAsia="Times New Roman" w:hAnsi="Segoe UI" w:cs="Segoe UI"/>
          <w:color w:val="000000"/>
          <w:sz w:val="22"/>
          <w:lang w:eastAsia="es-CO"/>
        </w:rPr>
        <w:lastRenderedPageBreak/>
        <w:t>adquirentes de los bienes raíces, en relación con los cuales deberá declararse su valor de mercado.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A partir del 1° de enero de 2019, no serán constitutivos de costo de los bienes raíces aquellas sumas que no se hayan desembolsado a través de entidades financieras.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Arial" w:eastAsia="Times New Roman" w:hAnsi="Arial" w:cs="Arial"/>
          <w:color w:val="000000"/>
          <w:sz w:val="18"/>
          <w:szCs w:val="18"/>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sz w:val="22"/>
          <w:u w:val="single"/>
          <w:lang w:eastAsia="es-CO"/>
        </w:rPr>
        <w:t>Cuando el valor asignado por las partes difiera notoriamente del valor comercial de los bienes o servicios en la fecha de su enajenación</w:t>
      </w:r>
      <w:r w:rsidRPr="00B66C76">
        <w:rPr>
          <w:rFonts w:ascii="Segoe UI" w:eastAsia="Times New Roman" w:hAnsi="Segoe UI" w:cs="Segoe UI"/>
          <w:color w:val="000000"/>
          <w:sz w:val="22"/>
          <w:lang w:eastAsia="es-CO"/>
        </w:rPr>
        <w:t>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 (Subrayados fuera de texto).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Como se observa en la parte inicial de la norma transcrita se está regulando la renta bruta o la pérdida proveniente de la enajenación de activos a cualquier título, inciso en el cual se debe entender el término enajenación en su sentido natural y obvio; es decir, como aquella actuación por medio de la cual se transfiere la propiedad de un bien sin importar el modo o si es a título oneroso o gratuito.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lastRenderedPageBreak/>
        <w:t>Debe tenerse en cuenta que la renuncia a gananciales para su asignación al otro cónyuge es un acto de transferencia de bienes y/o derechos y, por ende, un modo de adquirir la propiedad; es decir, por medio de esta figura se transfiere la propiedad.</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3. En forma particular y teniendo en cuenta la pregunta realizada en la consulta, corresponde precisar que de acuerdo con el diseño del formato para la declaración de renta según la reforma tributaria contenida en la Ley 1819 de 2016, y la siguiente Ley de financiamiento Ley 1943 de 2018, las ganancias ocasionales recibidas con ocasión de la renuncia de gananciales del otro cónyuge en la liquidación de la sociedad conyugal, no se incluyen en ninguna cédula, sino en la sección correspondiente a ganancias ocasionales. Toda vez que esta clase de ingresos no fueron incluidos en ninguna de las cédulas y tienen su agregado en particular en los respectivos formatos.</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4. Por otra parte, revisada la doctrina anterior en lo relacionado con el tema se encontró que se presentó una imprecisión en el Oficio 0128286 de 6 abril de 2001; en el cual se señaló como tesis que: “en el evento de renuncia a gananciales en favor de otro cónyuge se tratará como un ingreso constitutivo de renta el valor patrimonial neto recibido”.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Lo anterior, se explica porque la afirmación contenida en el oficio referido no tuvo en cuenta que la renuncia es un acto jurídico inter vivos de disposición de bienes o derechos y tiene naturaleza similar a la de una donación de acuerdo con la definición de donación del Código Civil Colombiano.</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 </w:t>
      </w:r>
    </w:p>
    <w:p w:rsidR="00B66C76" w:rsidRPr="00B66C76" w:rsidRDefault="00B66C76" w:rsidP="00B66C76">
      <w:pPr>
        <w:ind w:left="180"/>
        <w:rPr>
          <w:rFonts w:ascii="Arial" w:eastAsia="Times New Roman" w:hAnsi="Arial" w:cs="Arial"/>
          <w:color w:val="000000"/>
          <w:sz w:val="22"/>
          <w:lang w:eastAsia="es-CO"/>
        </w:rPr>
      </w:pPr>
      <w:r w:rsidRPr="00B66C76">
        <w:rPr>
          <w:rFonts w:ascii="Segoe UI" w:eastAsia="Times New Roman" w:hAnsi="Segoe UI" w:cs="Segoe UI"/>
          <w:b/>
          <w:bCs/>
          <w:color w:val="000000"/>
          <w:sz w:val="22"/>
          <w:lang w:eastAsia="es-CO"/>
        </w:rPr>
        <w:t>Artículo 1443. </w:t>
      </w:r>
      <w:r w:rsidRPr="00B66C76">
        <w:rPr>
          <w:rFonts w:ascii="Segoe UI" w:eastAsia="Times New Roman" w:hAnsi="Segoe UI" w:cs="Segoe UI"/>
          <w:b/>
          <w:bCs/>
          <w:i/>
          <w:iCs/>
          <w:color w:val="000000"/>
          <w:sz w:val="22"/>
          <w:lang w:eastAsia="es-CO"/>
        </w:rPr>
        <w:t>Definición de donación entre vivos</w:t>
      </w:r>
      <w:r w:rsidRPr="00B66C76">
        <w:rPr>
          <w:rFonts w:ascii="Segoe UI" w:eastAsia="Times New Roman" w:hAnsi="Segoe UI" w:cs="Segoe UI"/>
          <w:b/>
          <w:bCs/>
          <w:color w:val="000000"/>
          <w:sz w:val="22"/>
          <w:lang w:eastAsia="es-CO"/>
        </w:rPr>
        <w:t>&gt;.</w:t>
      </w:r>
      <w:r w:rsidRPr="00B66C76">
        <w:rPr>
          <w:rFonts w:ascii="Segoe UI" w:eastAsia="Times New Roman" w:hAnsi="Segoe UI" w:cs="Segoe UI"/>
          <w:color w:val="000000"/>
          <w:sz w:val="22"/>
          <w:lang w:eastAsia="es-CO"/>
        </w:rPr>
        <w:t> La donación entre vivos es un acto por el cual una persona transfiere, gratuita e irrevocablemente, una parte de sus bienes a otra persona que la acepta.</w:t>
      </w:r>
    </w:p>
    <w:p w:rsidR="00B66C76" w:rsidRPr="00B66C76" w:rsidRDefault="00B66C76" w:rsidP="00B66C76">
      <w:pPr>
        <w:rPr>
          <w:rFonts w:ascii="Arial" w:eastAsia="Times New Roman" w:hAnsi="Arial" w:cs="Arial"/>
          <w:color w:val="000000"/>
          <w:sz w:val="22"/>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En consecuencia, al entenderse la renuncia de gananciales como una donación o en su defecto como un</w:t>
      </w:r>
      <w:bookmarkStart w:id="0" w:name="_GoBack"/>
      <w:bookmarkEnd w:id="0"/>
      <w:r w:rsidRPr="00B66C76">
        <w:rPr>
          <w:rFonts w:ascii="Segoe UI" w:eastAsia="Times New Roman" w:hAnsi="Segoe UI" w:cs="Segoe UI"/>
          <w:color w:val="000000"/>
          <w:sz w:val="22"/>
          <w:lang w:eastAsia="es-CO"/>
        </w:rPr>
        <w:t xml:space="preserve"> acto jurídico inter vivos de disposición de bienes o derechos a título gratuito, los ingresos que perciba el donatario o la parte beneficiaria del acto celebrado se consideran ganancia ocasional de acuerdo con el </w:t>
      </w:r>
      <w:hyperlink r:id="rId21" w:tooltip="Estatuto Tributario CETA" w:history="1">
        <w:r w:rsidRPr="00B66C76">
          <w:rPr>
            <w:rFonts w:ascii="Segoe UI" w:eastAsia="Times New Roman" w:hAnsi="Segoe UI" w:cs="Segoe UI"/>
            <w:color w:val="0089E1"/>
            <w:sz w:val="22"/>
            <w:u w:val="single"/>
            <w:lang w:eastAsia="es-CO"/>
          </w:rPr>
          <w:t>artículo 302</w:t>
        </w:r>
      </w:hyperlink>
      <w:r w:rsidRPr="00B66C76">
        <w:rPr>
          <w:rFonts w:ascii="Segoe UI" w:eastAsia="Times New Roman" w:hAnsi="Segoe UI" w:cs="Segoe UI"/>
          <w:color w:val="000000"/>
          <w:sz w:val="22"/>
          <w:lang w:eastAsia="es-CO"/>
        </w:rPr>
        <w:t> del Estatuto Tributario y se encuentran gravadas con el impuesto a las ganancias ocasionales.</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Por lo explicado se revoca el Concepto 028286 de 6 de abril de 2001 y se ordena la publicación del presente concepto.</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En los anteriores términos se absuelve su consulta y cordialmente le informamos que tanto la normatividad en materia tributaria, aduanera y cambiaria, como los conceptos emitidos por la Dirección de Gestión Jurídica en estas materias pueden consultarse directamente en nuestras bases de datos jurídicas ingresando a la página electrónica de la DIAN: </w:t>
      </w:r>
      <w:hyperlink r:id="rId22" w:history="1">
        <w:r w:rsidRPr="00B66C76">
          <w:rPr>
            <w:rFonts w:ascii="Segoe UI" w:eastAsia="Times New Roman" w:hAnsi="Segoe UI" w:cs="Segoe UI"/>
            <w:color w:val="0563C1"/>
            <w:sz w:val="22"/>
            <w:u w:val="single"/>
            <w:lang w:eastAsia="es-CO"/>
          </w:rPr>
          <w:t>http://www.dian.gov.co</w:t>
        </w:r>
      </w:hyperlink>
      <w:r w:rsidRPr="00B66C76">
        <w:rPr>
          <w:rFonts w:ascii="Segoe UI" w:eastAsia="Times New Roman" w:hAnsi="Segoe UI" w:cs="Segoe UI"/>
          <w:color w:val="000000"/>
          <w:sz w:val="22"/>
          <w:lang w:eastAsia="es-CO"/>
        </w:rPr>
        <w:t> siguiendo el ícono de “Normatividad” – “técnica“, y seleccionando los vínculos “doctrina” y “Dirección de Gestión Jurídica”.</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Atentamente,</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22"/>
          <w:lang w:eastAsia="es-CO"/>
        </w:rPr>
        <w:lastRenderedPageBreak/>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b/>
          <w:bCs/>
          <w:color w:val="000000"/>
          <w:sz w:val="22"/>
          <w:lang w:eastAsia="es-CO"/>
        </w:rPr>
        <w:t>La Directora de Gestión Jurídica,</w:t>
      </w:r>
    </w:p>
    <w:p w:rsidR="00B66C76" w:rsidRPr="00B66C76" w:rsidRDefault="00B66C76" w:rsidP="00B66C76">
      <w:pPr>
        <w:jc w:val="right"/>
        <w:rPr>
          <w:rFonts w:ascii="Arial" w:eastAsia="Times New Roman" w:hAnsi="Arial" w:cs="Arial"/>
          <w:color w:val="000000"/>
          <w:sz w:val="18"/>
          <w:szCs w:val="18"/>
          <w:lang w:eastAsia="es-CO"/>
        </w:rPr>
      </w:pPr>
      <w:r w:rsidRPr="00B66C76">
        <w:rPr>
          <w:rFonts w:ascii="Segoe UI" w:eastAsia="Times New Roman" w:hAnsi="Segoe UI" w:cs="Segoe UI"/>
          <w:b/>
          <w:bCs/>
          <w:i/>
          <w:iCs/>
          <w:color w:val="000000"/>
          <w:sz w:val="22"/>
          <w:lang w:eastAsia="es-CO"/>
        </w:rPr>
        <w:t> </w:t>
      </w:r>
    </w:p>
    <w:p w:rsidR="00B66C76" w:rsidRPr="00B66C76" w:rsidRDefault="00B66C76" w:rsidP="00B66C76">
      <w:pPr>
        <w:jc w:val="right"/>
        <w:rPr>
          <w:rFonts w:ascii="Arial" w:eastAsia="Times New Roman" w:hAnsi="Arial" w:cs="Arial"/>
          <w:color w:val="000000"/>
          <w:sz w:val="18"/>
          <w:szCs w:val="18"/>
          <w:lang w:eastAsia="es-CO"/>
        </w:rPr>
      </w:pPr>
      <w:r w:rsidRPr="00B66C76">
        <w:rPr>
          <w:rFonts w:ascii="Segoe UI" w:eastAsia="Times New Roman" w:hAnsi="Segoe UI" w:cs="Segoe UI"/>
          <w:i/>
          <w:iCs/>
          <w:color w:val="000000"/>
          <w:sz w:val="22"/>
          <w:lang w:eastAsia="es-CO"/>
        </w:rPr>
        <w:t>Liliana Andrea Forero Gómez,</w:t>
      </w:r>
    </w:p>
    <w:p w:rsidR="00B66C76" w:rsidRPr="00B66C76" w:rsidRDefault="00B66C76" w:rsidP="00B66C76">
      <w:pPr>
        <w:jc w:val="right"/>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xml:space="preserve">Dirección de Gestión Jurídica </w:t>
      </w:r>
      <w:proofErr w:type="spellStart"/>
      <w:r w:rsidRPr="00B66C76">
        <w:rPr>
          <w:rFonts w:ascii="Segoe UI" w:eastAsia="Times New Roman" w:hAnsi="Segoe UI" w:cs="Segoe UI"/>
          <w:color w:val="000000"/>
          <w:sz w:val="18"/>
          <w:szCs w:val="18"/>
          <w:lang w:eastAsia="es-CO"/>
        </w:rPr>
        <w:t>UAE</w:t>
      </w:r>
      <w:proofErr w:type="spellEnd"/>
      <w:r w:rsidRPr="00B66C76">
        <w:rPr>
          <w:rFonts w:ascii="Segoe UI" w:eastAsia="Times New Roman" w:hAnsi="Segoe UI" w:cs="Segoe UI"/>
          <w:color w:val="000000"/>
          <w:sz w:val="18"/>
          <w:szCs w:val="18"/>
          <w:lang w:eastAsia="es-CO"/>
        </w:rPr>
        <w:t xml:space="preserve"> – DIAN</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w:t>
      </w:r>
    </w:p>
    <w:p w:rsidR="00B66C76" w:rsidRPr="00B66C76" w:rsidRDefault="00B66C76" w:rsidP="00B66C76">
      <w:pPr>
        <w:rPr>
          <w:rFonts w:ascii="Arial" w:eastAsia="Times New Roman" w:hAnsi="Arial" w:cs="Arial"/>
          <w:color w:val="000000"/>
          <w:sz w:val="18"/>
          <w:szCs w:val="18"/>
          <w:lang w:eastAsia="es-CO"/>
        </w:rPr>
      </w:pPr>
      <w:r w:rsidRPr="00B66C76">
        <w:rPr>
          <w:rFonts w:ascii="Segoe UI" w:eastAsia="Times New Roman" w:hAnsi="Segoe UI" w:cs="Segoe UI"/>
          <w:color w:val="000000"/>
          <w:sz w:val="18"/>
          <w:szCs w:val="18"/>
          <w:lang w:eastAsia="es-CO"/>
        </w:rPr>
        <w:t> </w:t>
      </w:r>
    </w:p>
    <w:p w:rsidR="00B66C76" w:rsidRPr="00B66C76" w:rsidRDefault="00B66C76" w:rsidP="00B66C76">
      <w:pPr>
        <w:shd w:val="clear" w:color="auto" w:fill="FFFFFF"/>
        <w:rPr>
          <w:rFonts w:ascii="Arial" w:eastAsia="Times New Roman" w:hAnsi="Arial" w:cs="Arial"/>
          <w:color w:val="000000"/>
          <w:sz w:val="18"/>
          <w:szCs w:val="18"/>
          <w:lang w:eastAsia="es-CO"/>
        </w:rPr>
      </w:pPr>
      <w:r w:rsidRPr="00B66C76">
        <w:rPr>
          <w:rFonts w:ascii="Segoe UI" w:eastAsia="Times New Roman" w:hAnsi="Segoe UI" w:cs="Segoe UI"/>
          <w:b/>
          <w:bCs/>
          <w:color w:val="000000"/>
          <w:szCs w:val="20"/>
          <w:lang w:eastAsia="es-CO"/>
        </w:rPr>
        <w:t xml:space="preserve">Publicado en </w:t>
      </w:r>
      <w:proofErr w:type="spellStart"/>
      <w:r w:rsidRPr="00B66C76">
        <w:rPr>
          <w:rFonts w:ascii="Segoe UI" w:eastAsia="Times New Roman" w:hAnsi="Segoe UI" w:cs="Segoe UI"/>
          <w:b/>
          <w:bCs/>
          <w:color w:val="000000"/>
          <w:szCs w:val="20"/>
          <w:lang w:eastAsia="es-CO"/>
        </w:rPr>
        <w:t>D.O</w:t>
      </w:r>
      <w:proofErr w:type="spellEnd"/>
      <w:r w:rsidRPr="00B66C76">
        <w:rPr>
          <w:rFonts w:ascii="Segoe UI" w:eastAsia="Times New Roman" w:hAnsi="Segoe UI" w:cs="Segoe UI"/>
          <w:b/>
          <w:bCs/>
          <w:color w:val="000000"/>
          <w:szCs w:val="20"/>
          <w:lang w:eastAsia="es-CO"/>
        </w:rPr>
        <w:t>. 50.927 del 15 de abril de 2019.</w:t>
      </w:r>
    </w:p>
    <w:p w:rsidR="00E575A2" w:rsidRDefault="00E575A2"/>
    <w:sectPr w:rsidR="00E575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CC" w:rsidRDefault="004731CC" w:rsidP="00B66C76">
      <w:r>
        <w:separator/>
      </w:r>
    </w:p>
  </w:endnote>
  <w:endnote w:type="continuationSeparator" w:id="0">
    <w:p w:rsidR="004731CC" w:rsidRDefault="004731CC" w:rsidP="00B6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CC" w:rsidRDefault="004731CC" w:rsidP="00B66C76">
      <w:r>
        <w:separator/>
      </w:r>
    </w:p>
  </w:footnote>
  <w:footnote w:type="continuationSeparator" w:id="0">
    <w:p w:rsidR="004731CC" w:rsidRDefault="004731CC" w:rsidP="00B6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32B8C"/>
    <w:rsid w:val="0005100D"/>
    <w:rsid w:val="00054B30"/>
    <w:rsid w:val="0008165D"/>
    <w:rsid w:val="00144A96"/>
    <w:rsid w:val="00154C6E"/>
    <w:rsid w:val="00240A17"/>
    <w:rsid w:val="003337F4"/>
    <w:rsid w:val="00382101"/>
    <w:rsid w:val="003F37C3"/>
    <w:rsid w:val="00432C53"/>
    <w:rsid w:val="004731CC"/>
    <w:rsid w:val="00B66C76"/>
    <w:rsid w:val="00C44B09"/>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DEB03-860D-4063-9636-4DEBBAD3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F4"/>
    <w:pPr>
      <w:spacing w:after="0" w:line="240" w:lineRule="auto"/>
      <w:jc w:val="both"/>
    </w:pPr>
    <w:rPr>
      <w:rFonts w:ascii="Verdana" w:hAnsi="Verdana"/>
      <w:sz w:val="20"/>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 w:val="24"/>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rFonts w:cs="Times New Roman"/>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paragraph" w:customStyle="1" w:styleId="pa5">
    <w:name w:val="pa5"/>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a6">
    <w:name w:val="pa6"/>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a8">
    <w:name w:val="pa8"/>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a34">
    <w:name w:val="pa34"/>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3">
    <w:name w:val="a3"/>
    <w:basedOn w:val="Fuentedeprrafopredeter"/>
    <w:rsid w:val="00B66C76"/>
  </w:style>
  <w:style w:type="paragraph" w:customStyle="1" w:styleId="pa9">
    <w:name w:val="pa9"/>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66C76"/>
    <w:rPr>
      <w:color w:val="0000FF"/>
      <w:u w:val="single"/>
    </w:rPr>
  </w:style>
  <w:style w:type="paragraph" w:customStyle="1" w:styleId="pa26">
    <w:name w:val="pa26"/>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11">
    <w:name w:val="a11"/>
    <w:basedOn w:val="Fuentedeprrafopredeter"/>
    <w:rsid w:val="00B66C76"/>
  </w:style>
  <w:style w:type="paragraph" w:customStyle="1" w:styleId="pa19">
    <w:name w:val="pa19"/>
    <w:basedOn w:val="Normal"/>
    <w:rsid w:val="00B66C76"/>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66C76"/>
    <w:pPr>
      <w:tabs>
        <w:tab w:val="center" w:pos="4419"/>
        <w:tab w:val="right" w:pos="8838"/>
      </w:tabs>
    </w:pPr>
  </w:style>
  <w:style w:type="character" w:customStyle="1" w:styleId="EncabezadoCar">
    <w:name w:val="Encabezado Car"/>
    <w:basedOn w:val="Fuentedeprrafopredeter"/>
    <w:link w:val="Encabezado"/>
    <w:uiPriority w:val="99"/>
    <w:rsid w:val="00B66C7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79" TargetMode="External"/><Relationship Id="rId13" Type="http://schemas.openxmlformats.org/officeDocument/2006/relationships/hyperlink" Target="https://www.ceta.org.co/html/vista_de_un_articulo.asp?Norma=349" TargetMode="External"/><Relationship Id="rId18" Type="http://schemas.openxmlformats.org/officeDocument/2006/relationships/hyperlink" Target="https://www.ceta.org.co/html/vista_de_un_articulo.asp?Norma=134" TargetMode="External"/><Relationship Id="rId3" Type="http://schemas.openxmlformats.org/officeDocument/2006/relationships/settings" Target="settings.xml"/><Relationship Id="rId21" Type="http://schemas.openxmlformats.org/officeDocument/2006/relationships/hyperlink" Target="https://www.ceta.org.co/html/vista_de_un_articulo.asp?Norma=379" TargetMode="External"/><Relationship Id="rId7" Type="http://schemas.openxmlformats.org/officeDocument/2006/relationships/hyperlink" Target="https://www.ceta.org.co/html/vista_de_un_articulo.asp?Norma=134" TargetMode="External"/><Relationship Id="rId12" Type="http://schemas.openxmlformats.org/officeDocument/2006/relationships/hyperlink" Target="https://www.ceta.org.co/html/vista_de_un_articulo.asp?Norma=379" TargetMode="External"/><Relationship Id="rId17" Type="http://schemas.openxmlformats.org/officeDocument/2006/relationships/hyperlink" Target="https://www.ceta.org.co/html/vista_de_un_articulo.asp?Norma=354" TargetMode="External"/><Relationship Id="rId2" Type="http://schemas.openxmlformats.org/officeDocument/2006/relationships/styles" Target="styles.xml"/><Relationship Id="rId16" Type="http://schemas.openxmlformats.org/officeDocument/2006/relationships/hyperlink" Target="https://www.ceta.org.co/html/vista_de_un_articulo.asp?Norma=348" TargetMode="External"/><Relationship Id="rId20" Type="http://schemas.openxmlformats.org/officeDocument/2006/relationships/hyperlink" Target="https://www.ceta.org.co/html/vista_de_un_articulo.asp?Norma=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ta.org.co/html/vista_de_un_articulo.asp?Norma=3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ta.org.co/html/vista_de_un_articulo.asp?Norma=347"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379" TargetMode="External"/><Relationship Id="rId19" Type="http://schemas.openxmlformats.org/officeDocument/2006/relationships/hyperlink" Target="https://www.ceta.org.co/html/vista_de_un_articulo.asp?Norma=134"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380" TargetMode="External"/><Relationship Id="rId14" Type="http://schemas.openxmlformats.org/officeDocument/2006/relationships/hyperlink" Target="https://www.ceta.org.co/html/vista_de_un_articulo.asp?Norma=346" TargetMode="External"/><Relationship Id="rId22"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2852</Words>
  <Characters>15692</Characters>
  <Application>Microsoft Office Word</Application>
  <DocSecurity>0</DocSecurity>
  <Lines>130</Lines>
  <Paragraphs>37</Paragraphs>
  <ScaleCrop>false</ScaleCrop>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1</cp:revision>
  <dcterms:created xsi:type="dcterms:W3CDTF">2019-04-24T20:19:00Z</dcterms:created>
  <dcterms:modified xsi:type="dcterms:W3CDTF">2019-04-24T20:23:00Z</dcterms:modified>
</cp:coreProperties>
</file>