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97" w:rsidRPr="000E0497" w:rsidRDefault="000E0497" w:rsidP="000E0497">
      <w:pPr>
        <w:jc w:val="center"/>
        <w:rPr>
          <w:rFonts w:ascii="Arial" w:eastAsia="Times New Roman" w:hAnsi="Arial" w:cs="Arial"/>
          <w:color w:val="000000"/>
          <w:sz w:val="18"/>
          <w:szCs w:val="18"/>
          <w:lang w:val="es-CO" w:eastAsia="es-ES_tradnl"/>
        </w:rPr>
      </w:pPr>
      <w:r w:rsidRPr="000E0497">
        <w:rPr>
          <w:rFonts w:ascii="Arial" w:eastAsia="Times New Roman" w:hAnsi="Arial" w:cs="Arial"/>
          <w:b/>
          <w:bCs/>
          <w:color w:val="0000FF"/>
          <w:sz w:val="28"/>
          <w:szCs w:val="28"/>
          <w:lang w:val="es-CO" w:eastAsia="es-ES_tradnl"/>
        </w:rPr>
        <w:t>OFICIO Nº 577 [006021]</w:t>
      </w:r>
    </w:p>
    <w:p w:rsidR="000E0497" w:rsidRPr="000E0497" w:rsidRDefault="000E0497" w:rsidP="000E0497">
      <w:pPr>
        <w:jc w:val="center"/>
        <w:rPr>
          <w:rFonts w:ascii="Arial" w:eastAsia="Times New Roman" w:hAnsi="Arial" w:cs="Arial"/>
          <w:color w:val="000000"/>
          <w:sz w:val="18"/>
          <w:szCs w:val="18"/>
          <w:lang w:val="es-CO" w:eastAsia="es-ES_tradnl"/>
        </w:rPr>
      </w:pPr>
      <w:r w:rsidRPr="000E0497">
        <w:rPr>
          <w:rFonts w:ascii="Arial" w:eastAsia="Times New Roman" w:hAnsi="Arial" w:cs="Arial"/>
          <w:b/>
          <w:bCs/>
          <w:color w:val="0000FF"/>
          <w:sz w:val="28"/>
          <w:szCs w:val="28"/>
          <w:lang w:val="es-CO" w:eastAsia="es-ES_tradnl"/>
        </w:rPr>
        <w:t>11-03-2019</w:t>
      </w:r>
    </w:p>
    <w:p w:rsidR="000E0497" w:rsidRPr="000E0497" w:rsidRDefault="000E0497" w:rsidP="000E0497">
      <w:pPr>
        <w:jc w:val="center"/>
        <w:rPr>
          <w:rFonts w:ascii="Arial" w:eastAsia="Times New Roman" w:hAnsi="Arial" w:cs="Arial"/>
          <w:color w:val="000000"/>
          <w:sz w:val="18"/>
          <w:szCs w:val="18"/>
          <w:lang w:val="es-CO" w:eastAsia="es-ES_tradnl"/>
        </w:rPr>
      </w:pPr>
      <w:r w:rsidRPr="000E0497">
        <w:rPr>
          <w:rFonts w:ascii="Arial" w:eastAsia="Times New Roman" w:hAnsi="Arial" w:cs="Arial"/>
          <w:b/>
          <w:bCs/>
          <w:color w:val="0000FF"/>
          <w:sz w:val="28"/>
          <w:szCs w:val="28"/>
          <w:lang w:val="es-CO" w:eastAsia="es-ES_tradnl"/>
        </w:rPr>
        <w:t>DIAN</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Subdirección de Gestión Normativa y Doctrina</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100208221 – 000577</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Bogotá, D.C.</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b/>
          <w:bCs/>
          <w:color w:val="000000"/>
          <w:sz w:val="18"/>
          <w:szCs w:val="18"/>
          <w:lang w:val="es-CO" w:eastAsia="es-ES_tradnl"/>
        </w:rPr>
        <w:t>Ref:</w:t>
      </w:r>
      <w:r w:rsidRPr="000E0497">
        <w:rPr>
          <w:rFonts w:ascii="Arial" w:eastAsia="Times New Roman" w:hAnsi="Arial" w:cs="Arial"/>
          <w:color w:val="000000"/>
          <w:sz w:val="18"/>
          <w:szCs w:val="18"/>
          <w:lang w:val="es-CO" w:eastAsia="es-ES_tradnl"/>
        </w:rPr>
        <w:t> Radicado 100006790 del 31/01/2019</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873"/>
        <w:gridCol w:w="222"/>
        <w:gridCol w:w="222"/>
        <w:gridCol w:w="5653"/>
      </w:tblGrid>
      <w:tr w:rsidR="000E0497" w:rsidRPr="000E0497" w:rsidTr="000E0497">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sz w:val="20"/>
                <w:szCs w:val="20"/>
                <w:lang w:val="es-CO" w:eastAsia="es-ES_tradnl"/>
              </w:rPr>
              <w:t>Impuesto Sobre las Ventas - IVA</w:t>
            </w:r>
          </w:p>
        </w:tc>
      </w:tr>
      <w:tr w:rsidR="000E0497" w:rsidRPr="000E0497" w:rsidTr="000E0497">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sz w:val="20"/>
                <w:szCs w:val="20"/>
                <w:lang w:val="es-CO" w:eastAsia="es-ES_tradnl"/>
              </w:rPr>
              <w:t>Exclusión en los servicios de publicidad en emisoras de radio</w:t>
            </w:r>
          </w:p>
        </w:tc>
      </w:tr>
      <w:tr w:rsidR="000E0497" w:rsidRPr="000E0497" w:rsidTr="000E0497">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sz w:val="20"/>
                <w:szCs w:val="20"/>
                <w:lang w:val="es-CO" w:eastAsia="es-ES_tradnl"/>
              </w:rPr>
              <w:t>Numeral 13 del </w:t>
            </w:r>
            <w:hyperlink r:id="rId4" w:tooltip="Estatuto Tributario CETA" w:history="1">
              <w:r w:rsidRPr="000E0497">
                <w:rPr>
                  <w:rFonts w:ascii="Arial" w:eastAsia="Times New Roman" w:hAnsi="Arial" w:cs="Arial"/>
                  <w:color w:val="0089E1"/>
                  <w:sz w:val="20"/>
                  <w:szCs w:val="20"/>
                  <w:u w:val="single"/>
                  <w:lang w:val="es-CO" w:eastAsia="es-ES_tradnl"/>
                </w:rPr>
                <w:t>artículo 476</w:t>
              </w:r>
            </w:hyperlink>
            <w:r w:rsidRPr="000E0497">
              <w:rPr>
                <w:rFonts w:ascii="Arial" w:eastAsia="Times New Roman" w:hAnsi="Arial" w:cs="Arial"/>
                <w:sz w:val="20"/>
                <w:szCs w:val="20"/>
                <w:lang w:val="es-CO" w:eastAsia="es-ES_tradnl"/>
              </w:rPr>
              <w:t> del Estatuto Tributario</w:t>
            </w:r>
          </w:p>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sz w:val="20"/>
                <w:szCs w:val="20"/>
                <w:lang w:val="es-CO" w:eastAsia="es-ES_tradnl"/>
              </w:rPr>
              <w:t>Oficio No. 041483 del 6 de julio de 2004</w:t>
            </w:r>
          </w:p>
          <w:p w:rsidR="000E0497" w:rsidRPr="000E0497" w:rsidRDefault="000E0497" w:rsidP="000E0497">
            <w:pPr>
              <w:jc w:val="both"/>
              <w:rPr>
                <w:rFonts w:ascii="Arial" w:eastAsia="Times New Roman" w:hAnsi="Arial" w:cs="Arial"/>
                <w:lang w:val="es-CO" w:eastAsia="es-ES_tradnl"/>
              </w:rPr>
            </w:pPr>
            <w:r w:rsidRPr="000E0497">
              <w:rPr>
                <w:rFonts w:ascii="Arial" w:eastAsia="Times New Roman" w:hAnsi="Arial" w:cs="Arial"/>
                <w:sz w:val="20"/>
                <w:szCs w:val="20"/>
                <w:lang w:val="es-CO" w:eastAsia="es-ES_tradnl"/>
              </w:rPr>
              <w:t>Sentencia C-333 de 2017</w:t>
            </w:r>
          </w:p>
        </w:tc>
      </w:tr>
    </w:tbl>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Estimada señora Hortencia Lucía Ortiz:</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Mediante escrito radicado 100006790 del 31 de enero de dos mil diecinueve (2019) esta Subdirección recibió una consulta por medio de la cual se solicita aclarar lo siguiente:</w:t>
      </w:r>
    </w:p>
    <w:p w:rsidR="000E0497" w:rsidRPr="000E0497" w:rsidRDefault="000E0497" w:rsidP="000E0497">
      <w:pPr>
        <w:ind w:left="180"/>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ind w:left="180"/>
        <w:jc w:val="both"/>
        <w:rPr>
          <w:rFonts w:ascii="Arial" w:eastAsia="Times New Roman" w:hAnsi="Arial" w:cs="Arial"/>
          <w:color w:val="000000"/>
          <w:sz w:val="18"/>
          <w:szCs w:val="18"/>
          <w:lang w:val="es-CO" w:eastAsia="es-ES_tradnl"/>
        </w:rPr>
      </w:pPr>
      <w:r w:rsidRPr="00BC789A">
        <w:rPr>
          <w:rFonts w:ascii="Arial" w:eastAsia="Times New Roman" w:hAnsi="Arial" w:cs="Arial"/>
          <w:i/>
          <w:iCs/>
          <w:color w:val="000000"/>
          <w:sz w:val="18"/>
          <w:szCs w:val="18"/>
          <w:highlight w:val="yellow"/>
          <w:lang w:val="es-CO" w:eastAsia="es-ES_tradnl"/>
        </w:rPr>
        <w:t>“En un contrato de cuentas en participación, donde el socio oculto es una emisora con ventas inferiores a 30.000 UVT (numeral 31 del </w:t>
      </w:r>
      <w:hyperlink r:id="rId5" w:tooltip="Estatuto Tributario CETA" w:history="1">
        <w:r w:rsidRPr="00BC789A">
          <w:rPr>
            <w:rFonts w:ascii="Arial" w:eastAsia="Times New Roman" w:hAnsi="Arial" w:cs="Arial"/>
            <w:i/>
            <w:iCs/>
            <w:color w:val="0089E1"/>
            <w:sz w:val="18"/>
            <w:szCs w:val="18"/>
            <w:highlight w:val="yellow"/>
            <w:u w:val="single"/>
            <w:lang w:val="es-CO" w:eastAsia="es-ES_tradnl"/>
          </w:rPr>
          <w:t>artículo 476</w:t>
        </w:r>
      </w:hyperlink>
      <w:r w:rsidRPr="00BC789A">
        <w:rPr>
          <w:rFonts w:ascii="Arial" w:eastAsia="Times New Roman" w:hAnsi="Arial" w:cs="Arial"/>
          <w:i/>
          <w:iCs/>
          <w:color w:val="000000"/>
          <w:sz w:val="18"/>
          <w:szCs w:val="18"/>
          <w:highlight w:val="yellow"/>
          <w:lang w:val="es-CO" w:eastAsia="es-ES_tradnl"/>
        </w:rPr>
        <w:t> del E.T.) pero el socio gestor no, y tampoco tiene por actividad principal la prestación de servicios de publicidad, puede el socio gestor tomar el beneficio del socio oculto en vender el servicio de publicidad excluido del impuesto sobre las ventas? En la misma norma las 30.000 UVT las deben conformar las ventas de publicidad solamente, o refiere a las ventas totales?”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En atención a la consulta, se procede a analizar las siguientes consideraciones tributarias: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b/>
          <w:bCs/>
          <w:color w:val="000000"/>
          <w:sz w:val="18"/>
          <w:szCs w:val="18"/>
          <w:lang w:val="es-CO" w:eastAsia="es-ES_tradnl"/>
        </w:rPr>
        <w:t>1. </w:t>
      </w:r>
      <w:r w:rsidRPr="000E0497">
        <w:rPr>
          <w:rFonts w:ascii="Arial" w:eastAsia="Times New Roman" w:hAnsi="Arial" w:cs="Arial"/>
          <w:b/>
          <w:bCs/>
          <w:color w:val="000000"/>
          <w:sz w:val="18"/>
          <w:szCs w:val="18"/>
          <w:u w:val="single"/>
          <w:lang w:val="es-CO" w:eastAsia="es-ES_tradnl"/>
        </w:rPr>
        <w:t>Aplicación del numeral 31 del </w:t>
      </w:r>
      <w:hyperlink r:id="rId6" w:tooltip="Estatuto Tributario CETA" w:history="1">
        <w:r w:rsidRPr="000E0497">
          <w:rPr>
            <w:rFonts w:ascii="Arial" w:eastAsia="Times New Roman" w:hAnsi="Arial" w:cs="Arial"/>
            <w:b/>
            <w:bCs/>
            <w:color w:val="0089E1"/>
            <w:sz w:val="18"/>
            <w:szCs w:val="18"/>
            <w:u w:val="single"/>
            <w:lang w:val="es-CO" w:eastAsia="es-ES_tradnl"/>
          </w:rPr>
          <w:t>artículo 476</w:t>
        </w:r>
      </w:hyperlink>
      <w:r w:rsidRPr="000E0497">
        <w:rPr>
          <w:rFonts w:ascii="Arial" w:eastAsia="Times New Roman" w:hAnsi="Arial" w:cs="Arial"/>
          <w:b/>
          <w:bCs/>
          <w:color w:val="000000"/>
          <w:sz w:val="18"/>
          <w:szCs w:val="18"/>
          <w:u w:val="single"/>
          <w:lang w:val="es-CO" w:eastAsia="es-ES_tradnl"/>
        </w:rPr>
        <w:t> en los contratos de cuentas en participación</w:t>
      </w:r>
      <w:r w:rsidRPr="000E0497">
        <w:rPr>
          <w:rFonts w:ascii="Arial" w:eastAsia="Times New Roman" w:hAnsi="Arial" w:cs="Arial"/>
          <w:b/>
          <w:bCs/>
          <w:color w:val="000000"/>
          <w:sz w:val="18"/>
          <w:szCs w:val="18"/>
          <w:lang w:val="es-CO" w:eastAsia="es-ES_tradnl"/>
        </w:rPr>
        <w:t>:</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1.1. En primer lugar, es necesario resaltar que el </w:t>
      </w:r>
      <w:hyperlink r:id="rId7" w:tooltip="Estatuto Tributario CETA" w:history="1">
        <w:r w:rsidRPr="000E0497">
          <w:rPr>
            <w:rFonts w:ascii="Arial" w:eastAsia="Times New Roman" w:hAnsi="Arial" w:cs="Arial"/>
            <w:color w:val="0089E1"/>
            <w:sz w:val="18"/>
            <w:szCs w:val="18"/>
            <w:u w:val="single"/>
            <w:lang w:val="es-CO" w:eastAsia="es-ES_tradnl"/>
          </w:rPr>
          <w:t>artículo 18</w:t>
        </w:r>
      </w:hyperlink>
      <w:r w:rsidRPr="000E0497">
        <w:rPr>
          <w:rFonts w:ascii="Arial" w:eastAsia="Times New Roman" w:hAnsi="Arial" w:cs="Arial"/>
          <w:color w:val="000000"/>
          <w:sz w:val="18"/>
          <w:szCs w:val="18"/>
          <w:lang w:val="es-CO" w:eastAsia="es-ES_tradnl"/>
        </w:rPr>
        <w:t> del Estatuto Tributario (en adelante “</w:t>
      </w:r>
      <w:r w:rsidRPr="000E0497">
        <w:rPr>
          <w:rFonts w:ascii="Arial" w:eastAsia="Times New Roman" w:hAnsi="Arial" w:cs="Arial"/>
          <w:color w:val="000000"/>
          <w:sz w:val="18"/>
          <w:szCs w:val="18"/>
          <w:u w:val="single"/>
          <w:lang w:val="es-CO" w:eastAsia="es-ES_tradnl"/>
        </w:rPr>
        <w:t>E.T.</w:t>
      </w:r>
      <w:r w:rsidRPr="000E0497">
        <w:rPr>
          <w:rFonts w:ascii="Arial" w:eastAsia="Times New Roman" w:hAnsi="Arial" w:cs="Arial"/>
          <w:color w:val="000000"/>
          <w:sz w:val="18"/>
          <w:szCs w:val="18"/>
          <w:lang w:val="es-CO" w:eastAsia="es-ES_tradnl"/>
        </w:rPr>
        <w:t>”), el cual establece el tratamiento tributario para los contratos de colaboración empresarial, donde se incluyen los contratos de cuentas en participación, es aplicable solo para efectos del impuesto sobre la renta y complementarios.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1.2. En segundo lugar, es necesario precisar que para efectos del impuesto sobre las ventas (“</w:t>
      </w:r>
      <w:r w:rsidRPr="000E0497">
        <w:rPr>
          <w:rFonts w:ascii="Arial" w:eastAsia="Times New Roman" w:hAnsi="Arial" w:cs="Arial"/>
          <w:color w:val="000000"/>
          <w:sz w:val="18"/>
          <w:szCs w:val="18"/>
          <w:u w:val="single"/>
          <w:lang w:val="es-CO" w:eastAsia="es-ES_tradnl"/>
        </w:rPr>
        <w:t>IVA</w:t>
      </w:r>
      <w:r w:rsidRPr="000E0497">
        <w:rPr>
          <w:rFonts w:ascii="Arial" w:eastAsia="Times New Roman" w:hAnsi="Arial" w:cs="Arial"/>
          <w:color w:val="000000"/>
          <w:sz w:val="18"/>
          <w:szCs w:val="18"/>
          <w:lang w:val="es-CO" w:eastAsia="es-ES_tradnl"/>
        </w:rPr>
        <w:t>”) no existe dentro del E.T. un tratamiento especial para los contratos de colaboración empresarial, donde se incluyen los de cuentas en participación.</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1.3. Respecto a su consulta, consideramos necesario precisar que el IVA en los contratos de cuentas está en cabeza el socio o partícipe gestor, por cuanto es este el único que lidera o gestiona el negocio frente a terceros.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1.4. Esto fue precisado por este despacho en el Oficio No. 041483 del 6 de julio de 2004, donde se estableció que: </w:t>
      </w:r>
      <w:r w:rsidRPr="000E0497">
        <w:rPr>
          <w:rFonts w:ascii="Arial" w:eastAsia="Times New Roman" w:hAnsi="Arial" w:cs="Arial"/>
          <w:i/>
          <w:iCs/>
          <w:color w:val="000000"/>
          <w:sz w:val="18"/>
          <w:szCs w:val="18"/>
          <w:lang w:val="es-CO" w:eastAsia="es-ES_tradnl"/>
        </w:rPr>
        <w:t xml:space="preserve">“En lo que respecta al manejo del IVA, será el socio gestor quien liquide, facture, recaude, declare y pague el impuesto correspondiente a la explotación de las cuentas en participación, por ser este la única persona </w:t>
      </w:r>
      <w:r w:rsidRPr="000E0497">
        <w:rPr>
          <w:rFonts w:ascii="Arial" w:eastAsia="Times New Roman" w:hAnsi="Arial" w:cs="Arial"/>
          <w:i/>
          <w:iCs/>
          <w:color w:val="000000"/>
          <w:sz w:val="18"/>
          <w:szCs w:val="18"/>
          <w:lang w:val="es-CO" w:eastAsia="es-ES_tradnl"/>
        </w:rPr>
        <w:lastRenderedPageBreak/>
        <w:t>visible ante los terceros. De igual forma tendrá derecho a solicitar los impuestos descontables y las retenciones practicadas por este impuesto.”</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1.5. Adicionalmente, es preciso resaltar que el IVA es un impuesto objetivo, ya que no toma en cuenta las cualidades del sujeto pasivo, sino los actos del mismo.</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1.6. Por lo anterior, consideramos que la exclusión establecida en el numeral 31 del </w:t>
      </w:r>
      <w:hyperlink r:id="rId8" w:tooltip="Estatuto Tributario CETA" w:history="1">
        <w:r w:rsidRPr="000E0497">
          <w:rPr>
            <w:rFonts w:ascii="Arial" w:eastAsia="Times New Roman" w:hAnsi="Arial" w:cs="Arial"/>
            <w:color w:val="0089E1"/>
            <w:sz w:val="18"/>
            <w:szCs w:val="18"/>
            <w:u w:val="single"/>
            <w:lang w:val="es-CO" w:eastAsia="es-ES_tradnl"/>
          </w:rPr>
          <w:t>artículo 476</w:t>
        </w:r>
      </w:hyperlink>
      <w:r w:rsidRPr="000E0497">
        <w:rPr>
          <w:rFonts w:ascii="Arial" w:eastAsia="Times New Roman" w:hAnsi="Arial" w:cs="Arial"/>
          <w:color w:val="000000"/>
          <w:sz w:val="18"/>
          <w:szCs w:val="18"/>
          <w:lang w:val="es-CO" w:eastAsia="es-ES_tradnl"/>
        </w:rPr>
        <w:t>, es aplicable, siempre y cuando quien realice la actividad, es decir en el gestor en los contratos de cuentas en participación ante terceros, cumpla con las condiciones respectivas.</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1.7. Adicionalmente, es aplicable lo señalado por la Corte Constitucional en la Sentencia C-333 de 2017, donde señala que: </w:t>
      </w:r>
      <w:r w:rsidRPr="000E0497">
        <w:rPr>
          <w:rFonts w:ascii="Arial" w:eastAsia="Times New Roman" w:hAnsi="Arial" w:cs="Arial"/>
          <w:i/>
          <w:iCs/>
          <w:color w:val="000000"/>
          <w:sz w:val="18"/>
          <w:szCs w:val="18"/>
          <w:lang w:val="es-CO" w:eastAsia="es-ES_tradnl"/>
        </w:rPr>
        <w:t>“los beneficios tributarios se han catalogado como taxativos, limitados, </w:t>
      </w:r>
      <w:r w:rsidRPr="000E0497">
        <w:rPr>
          <w:rFonts w:ascii="Arial" w:eastAsia="Times New Roman" w:hAnsi="Arial" w:cs="Arial"/>
          <w:i/>
          <w:iCs/>
          <w:color w:val="000000"/>
          <w:sz w:val="18"/>
          <w:szCs w:val="18"/>
          <w:u w:val="single"/>
          <w:lang w:val="es-CO" w:eastAsia="es-ES_tradnl"/>
        </w:rPr>
        <w:t>personales e intransferibles</w:t>
      </w:r>
      <w:r w:rsidRPr="000E0497">
        <w:rPr>
          <w:rFonts w:ascii="Arial" w:eastAsia="Times New Roman" w:hAnsi="Arial" w:cs="Arial"/>
          <w:i/>
          <w:iCs/>
          <w:color w:val="000000"/>
          <w:sz w:val="18"/>
          <w:szCs w:val="18"/>
          <w:lang w:val="es-CO" w:eastAsia="es-ES_tradnl"/>
        </w:rPr>
        <w:t>, teniendo en cuenta que se dirigen a favorecer únicamente a los sujetos pasivos que se subsumen dentro de las hipótesis reguladas, lo que significa una estrecha relación entre el beneficiario y el gravamen que –al menos en principio- no puede ser trasladado a otro sujeto”.</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xml:space="preserve">1.8. </w:t>
      </w:r>
      <w:r w:rsidRPr="000E0497">
        <w:rPr>
          <w:rFonts w:ascii="Arial" w:eastAsia="Times New Roman" w:hAnsi="Arial" w:cs="Arial"/>
          <w:color w:val="000000"/>
          <w:sz w:val="18"/>
          <w:szCs w:val="18"/>
          <w:highlight w:val="yellow"/>
          <w:lang w:val="es-CO" w:eastAsia="es-ES_tradnl"/>
        </w:rPr>
        <w:t>Por lo anterior, concluimos que, en el caso de análisis</w:t>
      </w:r>
      <w:bookmarkStart w:id="0" w:name="_GoBack"/>
      <w:r w:rsidRPr="000E0497">
        <w:rPr>
          <w:rFonts w:ascii="Arial" w:eastAsia="Times New Roman" w:hAnsi="Arial" w:cs="Arial"/>
          <w:color w:val="000000"/>
          <w:sz w:val="18"/>
          <w:szCs w:val="18"/>
          <w:highlight w:val="yellow"/>
          <w:lang w:val="es-CO" w:eastAsia="es-ES_tradnl"/>
        </w:rPr>
        <w:t>, el socio gestor, que no cumple con lo establecido en el numeral 31 del </w:t>
      </w:r>
      <w:hyperlink r:id="rId9" w:tooltip="Estatuto Tributario CETA" w:history="1">
        <w:r w:rsidRPr="000E0497">
          <w:rPr>
            <w:rFonts w:ascii="Arial" w:eastAsia="Times New Roman" w:hAnsi="Arial" w:cs="Arial"/>
            <w:color w:val="0089E1"/>
            <w:sz w:val="18"/>
            <w:szCs w:val="18"/>
            <w:highlight w:val="yellow"/>
            <w:u w:val="single"/>
            <w:lang w:val="es-CO" w:eastAsia="es-ES_tradnl"/>
          </w:rPr>
          <w:t>artículo 476</w:t>
        </w:r>
      </w:hyperlink>
      <w:r w:rsidRPr="000E0497">
        <w:rPr>
          <w:rFonts w:ascii="Arial" w:eastAsia="Times New Roman" w:hAnsi="Arial" w:cs="Arial"/>
          <w:color w:val="000000"/>
          <w:sz w:val="18"/>
          <w:szCs w:val="18"/>
          <w:highlight w:val="yellow"/>
          <w:lang w:val="es-CO" w:eastAsia="es-ES_tradnl"/>
        </w:rPr>
        <w:t>, no puede reconocer como excluido del IVA los ingresos percibidos en el desarrollo del contrato de cuentas en participación cuando uno de los socios ocultos cumple con los requisitos aplicables de la norma de la referencia.</w:t>
      </w:r>
    </w:p>
    <w:bookmarkEnd w:id="0"/>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b/>
          <w:bCs/>
          <w:color w:val="000000"/>
          <w:sz w:val="18"/>
          <w:szCs w:val="18"/>
          <w:lang w:val="es-CO" w:eastAsia="es-ES_tradnl"/>
        </w:rPr>
        <w:t>2. Naturaleza de las 30.000 UVT del numeral 31 del </w:t>
      </w:r>
      <w:hyperlink r:id="rId10" w:tooltip="Estatuto Tributario CETA" w:history="1">
        <w:r w:rsidRPr="000E0497">
          <w:rPr>
            <w:rFonts w:ascii="Arial" w:eastAsia="Times New Roman" w:hAnsi="Arial" w:cs="Arial"/>
            <w:b/>
            <w:bCs/>
            <w:color w:val="0089E1"/>
            <w:sz w:val="18"/>
            <w:szCs w:val="18"/>
            <w:u w:val="single"/>
            <w:lang w:val="es-CO" w:eastAsia="es-ES_tradnl"/>
          </w:rPr>
          <w:t>artículo 476</w:t>
        </w:r>
      </w:hyperlink>
      <w:r w:rsidRPr="000E0497">
        <w:rPr>
          <w:rFonts w:ascii="Arial" w:eastAsia="Times New Roman" w:hAnsi="Arial" w:cs="Arial"/>
          <w:b/>
          <w:bCs/>
          <w:color w:val="000000"/>
          <w:sz w:val="18"/>
          <w:szCs w:val="18"/>
          <w:lang w:val="es-CO" w:eastAsia="es-ES_tradnl"/>
        </w:rPr>
        <w:t> del E.T.:</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2.1. El numeral 31 del </w:t>
      </w:r>
      <w:hyperlink r:id="rId11" w:tooltip="Estatuto Tributario CETA" w:history="1">
        <w:r w:rsidRPr="000E0497">
          <w:rPr>
            <w:rFonts w:ascii="Arial" w:eastAsia="Times New Roman" w:hAnsi="Arial" w:cs="Arial"/>
            <w:color w:val="0089E1"/>
            <w:sz w:val="18"/>
            <w:szCs w:val="18"/>
            <w:u w:val="single"/>
            <w:lang w:val="es-CO" w:eastAsia="es-ES_tradnl"/>
          </w:rPr>
          <w:t>artículo 476</w:t>
        </w:r>
      </w:hyperlink>
      <w:r w:rsidRPr="000E0497">
        <w:rPr>
          <w:rFonts w:ascii="Arial" w:eastAsia="Times New Roman" w:hAnsi="Arial" w:cs="Arial"/>
          <w:color w:val="000000"/>
          <w:sz w:val="18"/>
          <w:szCs w:val="18"/>
          <w:lang w:val="es-CO" w:eastAsia="es-ES_tradnl"/>
        </w:rPr>
        <w:t> del E.T. establece que:</w:t>
      </w:r>
    </w:p>
    <w:p w:rsidR="000E0497" w:rsidRPr="000E0497" w:rsidRDefault="000E0497" w:rsidP="000E0497">
      <w:pPr>
        <w:ind w:left="180"/>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ind w:left="180"/>
        <w:jc w:val="both"/>
        <w:rPr>
          <w:rFonts w:ascii="Arial" w:eastAsia="Times New Roman" w:hAnsi="Arial" w:cs="Arial"/>
          <w:color w:val="000000"/>
          <w:sz w:val="18"/>
          <w:szCs w:val="18"/>
          <w:lang w:val="es-CO" w:eastAsia="es-ES_tradnl"/>
        </w:rPr>
      </w:pPr>
      <w:r w:rsidRPr="000E0497">
        <w:rPr>
          <w:rFonts w:ascii="Arial" w:eastAsia="Times New Roman" w:hAnsi="Arial" w:cs="Arial"/>
          <w:i/>
          <w:iCs/>
          <w:color w:val="000000"/>
          <w:sz w:val="18"/>
          <w:szCs w:val="18"/>
          <w:lang w:val="es-CO" w:eastAsia="es-ES_tradnl"/>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xml:space="preserve">2.2. </w:t>
      </w:r>
      <w:r w:rsidRPr="000E0497">
        <w:rPr>
          <w:rFonts w:ascii="Arial" w:eastAsia="Times New Roman" w:hAnsi="Arial" w:cs="Arial"/>
          <w:color w:val="000000"/>
          <w:sz w:val="18"/>
          <w:szCs w:val="18"/>
          <w:highlight w:val="yellow"/>
          <w:lang w:val="es-CO" w:eastAsia="es-ES_tradnl"/>
        </w:rPr>
        <w:t>De la lectura de la norma, es posible reconocer que no se establece que las ventas inferiores a las 30.000 UVT deban provenir exclusivamente de los servicios de publicidad suministrados por las emisoras de radio.</w:t>
      </w:r>
    </w:p>
    <w:p w:rsidR="000E0497" w:rsidRDefault="000E0497" w:rsidP="000E0497">
      <w:pPr>
        <w:jc w:val="both"/>
        <w:rPr>
          <w:rFonts w:ascii="Arial" w:eastAsia="Times New Roman" w:hAnsi="Arial" w:cs="Arial"/>
          <w:color w:val="000000"/>
          <w:sz w:val="18"/>
          <w:szCs w:val="18"/>
          <w:lang w:val="es-CO" w:eastAsia="es-ES_tradnl"/>
        </w:rPr>
      </w:pP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highlight w:val="yellow"/>
          <w:lang w:val="es-CO" w:eastAsia="es-ES_tradnl"/>
        </w:rPr>
        <w:t>2.3. Por lo anterior, es posible concluir que para que aplique la exclusión establecida en el numeral 31 del </w:t>
      </w:r>
      <w:hyperlink r:id="rId12" w:tooltip="Estatuto Tributario CETA" w:history="1">
        <w:r w:rsidRPr="000E0497">
          <w:rPr>
            <w:rFonts w:ascii="Arial" w:eastAsia="Times New Roman" w:hAnsi="Arial" w:cs="Arial"/>
            <w:color w:val="0089E1"/>
            <w:sz w:val="18"/>
            <w:szCs w:val="18"/>
            <w:highlight w:val="yellow"/>
            <w:u w:val="single"/>
            <w:lang w:val="es-CO" w:eastAsia="es-ES_tradnl"/>
          </w:rPr>
          <w:t>artículo 476</w:t>
        </w:r>
      </w:hyperlink>
      <w:r w:rsidRPr="000E0497">
        <w:rPr>
          <w:rFonts w:ascii="Arial" w:eastAsia="Times New Roman" w:hAnsi="Arial" w:cs="Arial"/>
          <w:color w:val="000000"/>
          <w:sz w:val="18"/>
          <w:szCs w:val="18"/>
          <w:highlight w:val="yellow"/>
          <w:lang w:val="es-CO" w:eastAsia="es-ES_tradnl"/>
        </w:rPr>
        <w:t> del E.T. se deberán tener en cuenta las ventas en general de quien preste el servicio y no solo las derivadas de los servicios de publicidad.</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3" w:history="1">
        <w:r w:rsidRPr="000E0497">
          <w:rPr>
            <w:rFonts w:ascii="Arial" w:eastAsia="Times New Roman" w:hAnsi="Arial" w:cs="Arial"/>
            <w:color w:val="0563C1"/>
            <w:sz w:val="18"/>
            <w:szCs w:val="18"/>
            <w:u w:val="single"/>
            <w:lang w:val="es-CO" w:eastAsia="es-ES_tradnl"/>
          </w:rPr>
          <w:t>https://www.dian.gov.co</w:t>
        </w:r>
      </w:hyperlink>
      <w:r w:rsidRPr="000E0497">
        <w:rPr>
          <w:rFonts w:ascii="Arial" w:eastAsia="Times New Roman" w:hAnsi="Arial" w:cs="Arial"/>
          <w:color w:val="000000"/>
          <w:sz w:val="18"/>
          <w:szCs w:val="18"/>
          <w:lang w:val="es-CO" w:eastAsia="es-ES_tradnl"/>
        </w:rPr>
        <w:t> siguiendo íconos “Normatividad” – “Técnica” y seleccionando los vínculos “Doctrina” y “Dirección de Gestión Jurídica”.</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Atentamente,</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 </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b/>
          <w:bCs/>
          <w:color w:val="000000"/>
          <w:sz w:val="18"/>
          <w:szCs w:val="18"/>
          <w:lang w:val="es-CO" w:eastAsia="es-ES_tradnl"/>
        </w:rPr>
        <w:t>LORENZO CASTILLO BARVO</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Subdirector de Gestión Normativa y Doctrina (E)</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Dirección de Gestión Jurídica</w:t>
      </w:r>
    </w:p>
    <w:p w:rsidR="000E0497" w:rsidRPr="000E0497" w:rsidRDefault="000E0497" w:rsidP="000E0497">
      <w:pPr>
        <w:jc w:val="both"/>
        <w:rPr>
          <w:rFonts w:ascii="Arial" w:eastAsia="Times New Roman" w:hAnsi="Arial" w:cs="Arial"/>
          <w:color w:val="000000"/>
          <w:sz w:val="18"/>
          <w:szCs w:val="18"/>
          <w:lang w:val="es-CO" w:eastAsia="es-ES_tradnl"/>
        </w:rPr>
      </w:pPr>
      <w:r w:rsidRPr="000E0497">
        <w:rPr>
          <w:rFonts w:ascii="Arial" w:eastAsia="Times New Roman" w:hAnsi="Arial" w:cs="Arial"/>
          <w:color w:val="000000"/>
          <w:sz w:val="18"/>
          <w:szCs w:val="18"/>
          <w:lang w:val="es-CO" w:eastAsia="es-ES_tradnl"/>
        </w:rPr>
        <w:t>UAE – Dirección de Impuestos y Aduanas Nacionales</w:t>
      </w:r>
    </w:p>
    <w:p w:rsidR="0088602A" w:rsidRPr="000E0497" w:rsidRDefault="0088602A">
      <w:pPr>
        <w:rPr>
          <w:lang w:val="es-CO"/>
        </w:rPr>
      </w:pPr>
    </w:p>
    <w:sectPr w:rsidR="0088602A" w:rsidRPr="000E0497"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97"/>
    <w:rsid w:val="000E0497"/>
    <w:rsid w:val="0088602A"/>
    <w:rsid w:val="00A34E9D"/>
    <w:rsid w:val="00BC78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EAE9E47-FE39-5C49-8B3E-F5668ECA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0497"/>
    <w:rPr>
      <w:color w:val="0000FF"/>
      <w:u w:val="single"/>
    </w:rPr>
  </w:style>
  <w:style w:type="paragraph" w:styleId="Prrafodelista">
    <w:name w:val="List Paragraph"/>
    <w:basedOn w:val="Normal"/>
    <w:uiPriority w:val="34"/>
    <w:qFormat/>
    <w:rsid w:val="000E0497"/>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 TargetMode="External"/><Relationship Id="rId12"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5" Type="http://schemas.openxmlformats.org/officeDocument/2006/relationships/theme" Target="theme/theme1.xm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1173</Words>
  <Characters>6454</Characters>
  <Application>Microsoft Office Word</Application>
  <DocSecurity>0</DocSecurity>
  <Lines>53</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2</cp:revision>
  <dcterms:created xsi:type="dcterms:W3CDTF">2019-05-06T13:53:00Z</dcterms:created>
  <dcterms:modified xsi:type="dcterms:W3CDTF">2019-05-18T15:41:00Z</dcterms:modified>
</cp:coreProperties>
</file>