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3E" w:rsidRPr="0015663E" w:rsidRDefault="0015663E" w:rsidP="0015663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15663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15663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1400 [014495]</w:t>
      </w:r>
    </w:p>
    <w:p w:rsidR="0015663E" w:rsidRPr="0015663E" w:rsidRDefault="0015663E" w:rsidP="0015663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06-06-2019</w:t>
      </w:r>
    </w:p>
    <w:p w:rsidR="0015663E" w:rsidRPr="0015663E" w:rsidRDefault="0015663E" w:rsidP="0015663E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Subdirección de Gestión Normativa y Doctrina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100208221 – 001400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Bogotá, D.C.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proofErr w:type="spellStart"/>
      <w:r w:rsidRPr="0015663E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Ref</w:t>
      </w:r>
      <w:proofErr w:type="spellEnd"/>
      <w:r w:rsidRPr="0015663E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: 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Radicado 014234 del 02/05/2019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83"/>
        <w:gridCol w:w="283"/>
        <w:gridCol w:w="4915"/>
      </w:tblGrid>
      <w:tr w:rsidR="0015663E" w:rsidRPr="0015663E" w:rsidTr="0015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Impuesto sobre la Renta y Complementarios</w:t>
            </w:r>
          </w:p>
        </w:tc>
      </w:tr>
      <w:tr w:rsidR="0015663E" w:rsidRPr="0015663E" w:rsidTr="0015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CAPITALIZACIONES.</w:t>
            </w:r>
          </w:p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Dividendos</w:t>
            </w:r>
          </w:p>
        </w:tc>
      </w:tr>
      <w:tr w:rsidR="0015663E" w:rsidRPr="0015663E" w:rsidTr="0015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15663E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r w:rsidRPr="0015663E">
              <w:rPr>
                <w:rFonts w:ascii="Segoe UI" w:eastAsia="Times New Roman" w:hAnsi="Segoe UI" w:cs="Segoe UI"/>
                <w:b/>
                <w:bCs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5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30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6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36-3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7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48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8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49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9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242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10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242-1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  <w:p w:rsidR="0015663E" w:rsidRPr="0015663E" w:rsidRDefault="00767B3C" w:rsidP="0015663E">
            <w:pPr>
              <w:rPr>
                <w:rFonts w:ascii="Arial" w:eastAsia="Times New Roman" w:hAnsi="Arial" w:cs="Arial"/>
                <w:sz w:val="32"/>
                <w:lang w:eastAsia="es-CO"/>
              </w:rPr>
            </w:pPr>
            <w:hyperlink r:id="rId11" w:tooltip="Estatuto Tributario CETA" w:history="1">
              <w:r w:rsidR="0015663E" w:rsidRPr="0015663E">
                <w:rPr>
                  <w:rFonts w:ascii="Segoe UI" w:eastAsia="Times New Roman" w:hAnsi="Segoe UI" w:cs="Segoe UI"/>
                  <w:color w:val="0089E1"/>
                  <w:szCs w:val="20"/>
                  <w:u w:val="single"/>
                  <w:lang w:eastAsia="es-CO"/>
                </w:rPr>
                <w:t>Artículo 245</w:t>
              </w:r>
            </w:hyperlink>
            <w:r w:rsidR="0015663E" w:rsidRPr="0015663E">
              <w:rPr>
                <w:rFonts w:ascii="Segoe UI" w:eastAsia="Times New Roman" w:hAnsi="Segoe UI" w:cs="Segoe UI"/>
                <w:szCs w:val="20"/>
                <w:lang w:eastAsia="es-CO"/>
              </w:rPr>
              <w:t> del Estatuto Tributario</w:t>
            </w:r>
          </w:p>
        </w:tc>
      </w:tr>
    </w:tbl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Estimado señor José Manuel: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Con el objetivo de proveer mayor claridad respecto a lo establecido por este Despacho en el Concepto No. 001171 del 16 de enero de 2019, por medio del cual se dio respuesta a la consulta radicada bajo el número 100080132 del 04 de diciembre de 2018, este despacho procede a aclarar el tema de la referencia: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Default="0015663E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1. 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El </w:t>
      </w:r>
      <w:hyperlink r:id="rId12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artículo 36-3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del Estatuto Tributario (“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E.T.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”) reconoce como ingresos no constitutivos de renta ni ganancia ocasional, aquellos correspondientes a la distribución de utilidades en acciones o cuotas de interés social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 y el traslado a la cuenta de capital producto de la capitalización a la cuenta de revalorización de patrimonio, 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siempre y cuando las utilidades susceptibles de ser distribuidas a tal título (Ingreso no constitutivo de renta ni ganancia ocasional) sean determinadas según el procedimiento señalado en los artículos </w:t>
      </w:r>
      <w:hyperlink r:id="rId13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48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y </w:t>
      </w:r>
      <w:hyperlink r:id="rId14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49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del E.T.</w:t>
      </w:r>
    </w:p>
    <w:p w:rsidR="00DE24AA" w:rsidRPr="0015663E" w:rsidRDefault="00DE24AA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2. 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De modo contrario, las utilidades susceptibles de ser distribuidas en acciones o cuotas de interés social que sean reconocidas como utilidades gravadas en los términos de los artículos </w:t>
      </w:r>
      <w:hyperlink r:id="rId15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48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y </w:t>
      </w:r>
      <w:hyperlink r:id="rId16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49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del E.T. serán ingresos gravados con el impuesto sobre la renta y complementarios en los términos del E.T.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lastRenderedPageBreak/>
        <w:t>3. Contrario a la conclusión llegada en su escrito, el adverbio “tampoco” se refiere a que, para las sociedades listadas en bolsa, la distribución de las utilidades que excedan del cálculo del artículo </w:t>
      </w:r>
      <w:hyperlink r:id="rId17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48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y </w:t>
      </w:r>
      <w:hyperlink r:id="rId18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49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 </w:t>
      </w:r>
      <w:r w:rsidRPr="0015663E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18"/>
          <w:u w:val="single"/>
          <w:lang w:eastAsia="es-CO"/>
        </w:rPr>
        <w:t>tampoco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constituyen renta ni ganancia ocasional, al igual que las que no excedan de dicho cálculo. Por ende, no es posible extender el tratamiento de la segunda oración del </w:t>
      </w:r>
      <w:hyperlink r:id="rId19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artículo 36-3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 a todas las sociedades, ya que es evidente que dicha oración es exclusiva para las sociedades listadas en bolsa; si fuera aplicable para todas, el legislador no hubiera hecho una distinción tan clara entre estos dos tipos de sociedades.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4. Por otro lado, es necesario resaltar que, a diferencia de lo señalado en los párrafos anteriores, los artículos </w:t>
      </w:r>
      <w:hyperlink r:id="rId20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, </w:t>
      </w:r>
      <w:hyperlink r:id="rId21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242-1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y </w:t>
      </w:r>
      <w:hyperlink r:id="rId22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245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 establecen tarifas especiales para los dividendos y participaciones que sean recibidos por personas naturales residentes, sociedades nacionales, sociedades y entidades extranjeras y por personas naturales no residentes, 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u w:val="single"/>
          <w:lang w:eastAsia="es-CO"/>
        </w:rPr>
        <w:t>como ingresos no constitutivos de renta ni ganancia ocasional en los términos de los artículos </w:t>
      </w:r>
      <w:hyperlink r:id="rId23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48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u w:val="single"/>
          <w:lang w:eastAsia="es-CO"/>
        </w:rPr>
        <w:t> y </w:t>
      </w:r>
      <w:hyperlink r:id="rId24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49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u w:val="single"/>
          <w:lang w:eastAsia="es-CO"/>
        </w:rPr>
        <w:t> del E.T.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5. 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En esta medida, es posible reconocer que las tarifas especiales para dividendos de los artículos </w:t>
      </w:r>
      <w:hyperlink r:id="rId25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, </w:t>
      </w:r>
      <w:hyperlink r:id="rId26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242-1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y </w:t>
      </w:r>
      <w:hyperlink r:id="rId27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245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del E.T., 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aplican sobre los ingresos no constitutivos de renta ni ganancia ocasional, tal como lo son los incluidos en el </w:t>
      </w:r>
      <w:hyperlink r:id="rId28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artículo 36-3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 del E.T.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6. Las tarifas especiales para dividendos establecidas en los artículos </w:t>
      </w:r>
      <w:hyperlink r:id="rId29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, </w:t>
      </w:r>
      <w:hyperlink r:id="rId30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242-1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y </w:t>
      </w:r>
      <w:hyperlink r:id="rId31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245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 suponen que los dividendos reconocidos como ingresos no constitutivos de renta ni ganancia ocasional en los términos del </w:t>
      </w:r>
      <w:hyperlink r:id="rId32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artículo 49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E.T., serán gravados con una tarifa especial, según la naturaleza del beneficiario del dividendo, lo cual será recaudado en su totalidad a través del mecanismo de retención en la fuente.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7. Teniendo en cuenta que la consulta de la referencia corresponde a la distribución de utilidades en acciones o cuotas de interés social, </w:t>
      </w:r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consideramos necesario analizar por qué la distribución de utilidades en acciones o cuotas de interés social es considerada como un dividendo al cual le aplica lo establecido en los artículos </w:t>
      </w:r>
      <w:hyperlink r:id="rId33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, </w:t>
      </w:r>
      <w:hyperlink r:id="rId34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242-1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y </w:t>
      </w:r>
      <w:hyperlink r:id="rId35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245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lang w:eastAsia="es-CO"/>
        </w:rPr>
        <w:t> del E.T.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8. El </w:t>
      </w:r>
      <w:hyperlink r:id="rId36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artículo 30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 reconoce la definición de dividendos y participaciones para efectos fiscales como: </w:t>
      </w:r>
      <w:r w:rsidRPr="0015663E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“Toda distribución de beneficios, en dinero o </w:t>
      </w:r>
      <w:r w:rsidRPr="0015663E">
        <w:rPr>
          <w:rFonts w:ascii="Segoe UI" w:eastAsia="Times New Roman" w:hAnsi="Segoe UI" w:cs="Segoe UI"/>
          <w:i/>
          <w:iCs/>
          <w:color w:val="000000"/>
          <w:sz w:val="22"/>
          <w:szCs w:val="18"/>
          <w:u w:val="single"/>
          <w:lang w:eastAsia="es-CO"/>
        </w:rPr>
        <w:t>en especie</w:t>
      </w:r>
      <w:r w:rsidRPr="0015663E">
        <w:rPr>
          <w:rFonts w:ascii="Segoe UI" w:eastAsia="Times New Roman" w:hAnsi="Segoe UI" w:cs="Segoe UI"/>
          <w:i/>
          <w:iCs/>
          <w:color w:val="000000"/>
          <w:sz w:val="22"/>
          <w:szCs w:val="18"/>
          <w:lang w:eastAsia="es-CO"/>
        </w:rPr>
        <w:t>, con cargo a patrimonio que se realice a los socios, accionistas, comuneros, asociados, suscriptores o similares, excepto la disminución de capital y la prima en colocación de acciones.”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9. Por lo anterior, la distribución de utilidades en acciones o cuotas de interés social, encuadra dentro de la definición de dividendos y participaciones del </w:t>
      </w:r>
      <w:hyperlink r:id="rId37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artículo 30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del E.T., ya que estas corresponden a la distribución de un beneficio en especie con cargo a una cuenta del patrimonio, es decir la de capital, que se realiza a favor de los socios accionistas, comuneros, asociados, suscriptores o similares, que no está incluido en las excepciones previstas en la norma.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10. En este sentido, las tarifas especiales establecidas en los artículos </w:t>
      </w:r>
      <w:hyperlink r:id="rId38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, </w:t>
      </w:r>
      <w:hyperlink r:id="rId39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242-1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y </w:t>
      </w:r>
      <w:hyperlink r:id="rId40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u w:val="single"/>
            <w:lang w:eastAsia="es-CO"/>
          </w:rPr>
          <w:t>245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 del E.T. son aplicables a los dividendos y participaciones dentro de los cuales se encuentran la 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lastRenderedPageBreak/>
        <w:t>distribución de utilidades en acciones o cuotas de interés social así estos sean reconocidos como ingresos no constitutivos de renta ni ganancia ocasional.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11. Como consecuencia de lo anterior, 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este despacho aclara que la distribución de utilidades en acciones o cuotas de interés social, reconocidas como ingreso no constitutivo de renta ni ganancia ocasional, les es aplicable la tarifa especial de dividendos y participaciones establecida en los artículos </w:t>
      </w:r>
      <w:hyperlink r:id="rId41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, </w:t>
      </w:r>
      <w:hyperlink r:id="rId42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242-1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 y </w:t>
      </w:r>
      <w:hyperlink r:id="rId43" w:tooltip="Estatuto Tributario CETA" w:history="1">
        <w:r w:rsidRPr="0015663E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245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 del E.T.</w:t>
      </w:r>
    </w:p>
    <w:p w:rsidR="00DE24AA" w:rsidRDefault="00DE24AA" w:rsidP="0015663E">
      <w:pPr>
        <w:shd w:val="clear" w:color="auto" w:fill="FFFFFF"/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</w:pP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12. En la medida que la tarifa especial de dividendos o participaciones es recaudada a través del mecanismo de retención en la fuente, </w:t>
      </w:r>
      <w:r w:rsidRPr="0015663E">
        <w:rPr>
          <w:rFonts w:ascii="Segoe UI" w:eastAsia="Times New Roman" w:hAnsi="Segoe UI" w:cs="Segoe UI"/>
          <w:color w:val="000000"/>
          <w:sz w:val="22"/>
          <w:szCs w:val="18"/>
          <w:u w:val="single"/>
          <w:lang w:eastAsia="es-CO"/>
        </w:rPr>
        <w:t xml:space="preserve">consideramos que </w:t>
      </w:r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la distribución de utilidades en acciones o cuotas de interés social, reconocidas como ingreso no constitutivo de renta ni ganancia ocasional, estarán sujetas a dicha retención en la fuente en los términos de los artículos </w:t>
      </w:r>
      <w:hyperlink r:id="rId44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, </w:t>
      </w:r>
      <w:hyperlink r:id="rId45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242-1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 y </w:t>
      </w:r>
      <w:hyperlink r:id="rId46" w:tooltip="Estatuto Tributario CETA" w:history="1">
        <w:r w:rsidRPr="00767B3C">
          <w:rPr>
            <w:rFonts w:ascii="Segoe UI" w:eastAsia="Times New Roman" w:hAnsi="Segoe UI" w:cs="Segoe UI"/>
            <w:color w:val="0089E1"/>
            <w:sz w:val="22"/>
            <w:szCs w:val="18"/>
            <w:highlight w:val="yellow"/>
            <w:u w:val="single"/>
            <w:lang w:eastAsia="es-CO"/>
          </w:rPr>
          <w:t>245</w:t>
        </w:r>
      </w:hyperlink>
      <w:r w:rsidRPr="00767B3C">
        <w:rPr>
          <w:rFonts w:ascii="Segoe UI" w:eastAsia="Times New Roman" w:hAnsi="Segoe UI" w:cs="Segoe UI"/>
          <w:color w:val="000000"/>
          <w:sz w:val="22"/>
          <w:szCs w:val="18"/>
          <w:highlight w:val="yellow"/>
          <w:u w:val="single"/>
          <w:lang w:eastAsia="es-CO"/>
        </w:rPr>
        <w:t> del E.T.</w:t>
      </w:r>
      <w:bookmarkStart w:id="0" w:name="_GoBack"/>
      <w:bookmarkEnd w:id="0"/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En los anteriores términos se aclara la consulta de la referencia, y cordialmente le informamos que tanto la normatividad en materia tributaria, aduanera y cambiaria, como los conceptos emitidos por la Dirección de Gestión Jurídica en estas materias pueden consultarse directamente en nuestra base de datos jurídica ingresando a la página electrónica de la DIAN: </w:t>
      </w:r>
      <w:hyperlink r:id="rId47" w:history="1">
        <w:r w:rsidRPr="0015663E">
          <w:rPr>
            <w:rFonts w:ascii="Segoe UI" w:eastAsia="Times New Roman" w:hAnsi="Segoe UI" w:cs="Segoe UI"/>
            <w:color w:val="0563C1"/>
            <w:sz w:val="22"/>
            <w:szCs w:val="18"/>
            <w:u w:val="single"/>
            <w:lang w:eastAsia="es-CO"/>
          </w:rPr>
          <w:t>https://www.dian.gov.co</w:t>
        </w:r>
      </w:hyperlink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siguiendo íconos “Normatividad” – “Técnica” y seleccionando los vínculos “Doctrina” y “Dirección de Gestión Jurídica”.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Atentamente,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 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 xml:space="preserve">LORENZO CASTILLO </w:t>
      </w:r>
      <w:proofErr w:type="spellStart"/>
      <w:r w:rsidRPr="0015663E">
        <w:rPr>
          <w:rFonts w:ascii="Segoe UI" w:eastAsia="Times New Roman" w:hAnsi="Segoe UI" w:cs="Segoe UI"/>
          <w:b/>
          <w:bCs/>
          <w:color w:val="000000"/>
          <w:sz w:val="22"/>
          <w:szCs w:val="18"/>
          <w:lang w:eastAsia="es-CO"/>
        </w:rPr>
        <w:t>BARVO</w:t>
      </w:r>
      <w:proofErr w:type="spellEnd"/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Subdirector de Gestión Normativa y Doctrina (E)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Dirección de Gestión Jurídica</w:t>
      </w:r>
    </w:p>
    <w:p w:rsidR="0015663E" w:rsidRPr="0015663E" w:rsidRDefault="0015663E" w:rsidP="0015663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18"/>
          <w:lang w:eastAsia="es-CO"/>
        </w:rPr>
      </w:pPr>
      <w:proofErr w:type="spellStart"/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>UAE</w:t>
      </w:r>
      <w:proofErr w:type="spellEnd"/>
      <w:r w:rsidRPr="0015663E">
        <w:rPr>
          <w:rFonts w:ascii="Segoe UI" w:eastAsia="Times New Roman" w:hAnsi="Segoe UI" w:cs="Segoe UI"/>
          <w:color w:val="000000"/>
          <w:sz w:val="22"/>
          <w:szCs w:val="18"/>
          <w:lang w:eastAsia="es-CO"/>
        </w:rPr>
        <w:t xml:space="preserve"> – Dirección de Impuestos y Aduanas Nacionales</w:t>
      </w:r>
    </w:p>
    <w:p w:rsidR="00E575A2" w:rsidRPr="0015663E" w:rsidRDefault="00E575A2">
      <w:pPr>
        <w:rPr>
          <w:sz w:val="32"/>
        </w:rPr>
      </w:pPr>
    </w:p>
    <w:sectPr w:rsidR="00E575A2" w:rsidRPr="00156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686"/>
    <w:multiLevelType w:val="multilevel"/>
    <w:tmpl w:val="B5C281AA"/>
    <w:lvl w:ilvl="0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1"/>
        </w:tabs>
        <w:ind w:left="1071" w:hanging="84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0"/>
        </w:tabs>
        <w:ind w:left="16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left="18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8"/>
        </w:tabs>
        <w:ind w:left="19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2"/>
        </w:tabs>
        <w:ind w:left="2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6"/>
        </w:tabs>
        <w:ind w:left="2246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3E"/>
    <w:rsid w:val="00032B8C"/>
    <w:rsid w:val="0005100D"/>
    <w:rsid w:val="00054B30"/>
    <w:rsid w:val="0008165D"/>
    <w:rsid w:val="00144A96"/>
    <w:rsid w:val="00154C6E"/>
    <w:rsid w:val="0015663E"/>
    <w:rsid w:val="00207C55"/>
    <w:rsid w:val="00240A17"/>
    <w:rsid w:val="003337F4"/>
    <w:rsid w:val="00382101"/>
    <w:rsid w:val="003F37C3"/>
    <w:rsid w:val="00432C53"/>
    <w:rsid w:val="00491295"/>
    <w:rsid w:val="005F00E5"/>
    <w:rsid w:val="00767B3C"/>
    <w:rsid w:val="007808E5"/>
    <w:rsid w:val="00816706"/>
    <w:rsid w:val="00BC50E0"/>
    <w:rsid w:val="00C44B09"/>
    <w:rsid w:val="00DB3416"/>
    <w:rsid w:val="00DE24AA"/>
    <w:rsid w:val="00E575A2"/>
    <w:rsid w:val="00F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EC0CB"/>
  <w15:chartTrackingRefBased/>
  <w15:docId w15:val="{70D99781-BF33-47BF-831A-0200EF3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E5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40A17"/>
    <w:pPr>
      <w:keepNext/>
      <w:numPr>
        <w:numId w:val="1"/>
      </w:numPr>
      <w:spacing w:before="480" w:after="18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40A17"/>
    <w:pPr>
      <w:keepNext/>
      <w:numPr>
        <w:ilvl w:val="1"/>
        <w:numId w:val="2"/>
      </w:numPr>
      <w:spacing w:before="360" w:after="18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F349D0"/>
    <w:pPr>
      <w:ind w:left="1418"/>
    </w:pPr>
    <w:rPr>
      <w:iCs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F349D0"/>
    <w:rPr>
      <w:rFonts w:ascii="Verdana" w:hAnsi="Verdana"/>
      <w:iCs/>
      <w:sz w:val="18"/>
    </w:rPr>
  </w:style>
  <w:style w:type="character" w:customStyle="1" w:styleId="Ttulo2Car">
    <w:name w:val="Título 2 Car"/>
    <w:link w:val="Ttulo2"/>
    <w:rsid w:val="00240A17"/>
    <w:rPr>
      <w:rFonts w:ascii="Verdana" w:hAnsi="Verdana" w:cs="Arial"/>
      <w:b/>
      <w:bCs/>
      <w:iCs/>
      <w:szCs w:val="28"/>
    </w:rPr>
  </w:style>
  <w:style w:type="character" w:customStyle="1" w:styleId="Ttulo1Car">
    <w:name w:val="Título 1 Car"/>
    <w:link w:val="Ttulo1"/>
    <w:rsid w:val="00240A17"/>
    <w:rPr>
      <w:rFonts w:ascii="Arial" w:hAnsi="Arial" w:cs="Arial"/>
      <w:b/>
      <w:bCs/>
      <w:kern w:val="32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C44B09"/>
    <w:pPr>
      <w:tabs>
        <w:tab w:val="center" w:pos="4419"/>
        <w:tab w:val="right" w:pos="8838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B09"/>
    <w:rPr>
      <w:rFonts w:ascii="Verdana" w:hAnsi="Verdana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101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101"/>
    <w:rPr>
      <w:rFonts w:ascii="Verdana" w:hAnsi="Verdana" w:cs="Times New Roman"/>
      <w:sz w:val="16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15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ta.org.co/html/vista_de_un_articulo.asp?Norma=87" TargetMode="External"/><Relationship Id="rId18" Type="http://schemas.openxmlformats.org/officeDocument/2006/relationships/hyperlink" Target="https://www.ceta.org.co/html/vista_de_un_articulo.asp?Norma=88" TargetMode="External"/><Relationship Id="rId26" Type="http://schemas.openxmlformats.org/officeDocument/2006/relationships/hyperlink" Target="https://www.ceta.org.co/html/vista_de_un_articulo.asp?Norma=60481" TargetMode="External"/><Relationship Id="rId39" Type="http://schemas.openxmlformats.org/officeDocument/2006/relationships/hyperlink" Target="https://www.ceta.org.co/html/vista_de_un_articulo.asp?Norma=604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ta.org.co/html/vista_de_un_articulo.asp?Norma=60481" TargetMode="External"/><Relationship Id="rId34" Type="http://schemas.openxmlformats.org/officeDocument/2006/relationships/hyperlink" Target="https://www.ceta.org.co/html/vista_de_un_articulo.asp?Norma=60481" TargetMode="External"/><Relationship Id="rId42" Type="http://schemas.openxmlformats.org/officeDocument/2006/relationships/hyperlink" Target="https://www.ceta.org.co/html/vista_de_un_articulo.asp?Norma=60481" TargetMode="External"/><Relationship Id="rId47" Type="http://schemas.openxmlformats.org/officeDocument/2006/relationships/hyperlink" Target="https://www.dian.gov.co/" TargetMode="External"/><Relationship Id="rId7" Type="http://schemas.openxmlformats.org/officeDocument/2006/relationships/hyperlink" Target="https://www.ceta.org.co/html/vista_de_un_articulo.asp?Norma=87" TargetMode="External"/><Relationship Id="rId12" Type="http://schemas.openxmlformats.org/officeDocument/2006/relationships/hyperlink" Target="https://www.ceta.org.co/html/vista_de_un_articulo.asp?Norma=70" TargetMode="External"/><Relationship Id="rId17" Type="http://schemas.openxmlformats.org/officeDocument/2006/relationships/hyperlink" Target="https://www.ceta.org.co/html/vista_de_un_articulo.asp?Norma=87" TargetMode="External"/><Relationship Id="rId25" Type="http://schemas.openxmlformats.org/officeDocument/2006/relationships/hyperlink" Target="https://www.ceta.org.co/html/vista_de_un_articulo.asp?Norma=313" TargetMode="External"/><Relationship Id="rId33" Type="http://schemas.openxmlformats.org/officeDocument/2006/relationships/hyperlink" Target="https://www.ceta.org.co/html/vista_de_un_articulo.asp?Norma=313" TargetMode="External"/><Relationship Id="rId38" Type="http://schemas.openxmlformats.org/officeDocument/2006/relationships/hyperlink" Target="https://www.ceta.org.co/html/vista_de_un_articulo.asp?Norma=313" TargetMode="External"/><Relationship Id="rId46" Type="http://schemas.openxmlformats.org/officeDocument/2006/relationships/hyperlink" Target="https://www.ceta.org.co/html/vista_de_un_articulo.asp?Norma=3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ta.org.co/html/vista_de_un_articulo.asp?Norma=88" TargetMode="External"/><Relationship Id="rId20" Type="http://schemas.openxmlformats.org/officeDocument/2006/relationships/hyperlink" Target="https://www.ceta.org.co/html/vista_de_un_articulo.asp?Norma=313" TargetMode="External"/><Relationship Id="rId29" Type="http://schemas.openxmlformats.org/officeDocument/2006/relationships/hyperlink" Target="https://www.ceta.org.co/html/vista_de_un_articulo.asp?Norma=313" TargetMode="External"/><Relationship Id="rId41" Type="http://schemas.openxmlformats.org/officeDocument/2006/relationships/hyperlink" Target="https://www.ceta.org.co/html/vista_de_un_articulo.asp?Norma=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ta.org.co/html/vista_de_un_articulo.asp?Norma=70" TargetMode="External"/><Relationship Id="rId11" Type="http://schemas.openxmlformats.org/officeDocument/2006/relationships/hyperlink" Target="https://www.ceta.org.co/html/vista_de_un_articulo.asp?Norma=316" TargetMode="External"/><Relationship Id="rId24" Type="http://schemas.openxmlformats.org/officeDocument/2006/relationships/hyperlink" Target="https://www.ceta.org.co/html/vista_de_un_articulo.asp?Norma=88" TargetMode="External"/><Relationship Id="rId32" Type="http://schemas.openxmlformats.org/officeDocument/2006/relationships/hyperlink" Target="https://www.ceta.org.co/html/vista_de_un_articulo.asp?Norma=88" TargetMode="External"/><Relationship Id="rId37" Type="http://schemas.openxmlformats.org/officeDocument/2006/relationships/hyperlink" Target="https://www.ceta.org.co/html/vista_de_un_articulo.asp?Norma=60" TargetMode="External"/><Relationship Id="rId40" Type="http://schemas.openxmlformats.org/officeDocument/2006/relationships/hyperlink" Target="https://www.ceta.org.co/html/vista_de_un_articulo.asp?Norma=316" TargetMode="External"/><Relationship Id="rId45" Type="http://schemas.openxmlformats.org/officeDocument/2006/relationships/hyperlink" Target="https://www.ceta.org.co/html/vista_de_un_articulo.asp?Norma=60481" TargetMode="External"/><Relationship Id="rId5" Type="http://schemas.openxmlformats.org/officeDocument/2006/relationships/hyperlink" Target="https://www.ceta.org.co/html/vista_de_un_articulo.asp?Norma=60" TargetMode="External"/><Relationship Id="rId15" Type="http://schemas.openxmlformats.org/officeDocument/2006/relationships/hyperlink" Target="https://www.ceta.org.co/html/vista_de_un_articulo.asp?Norma=87" TargetMode="External"/><Relationship Id="rId23" Type="http://schemas.openxmlformats.org/officeDocument/2006/relationships/hyperlink" Target="https://www.ceta.org.co/html/vista_de_un_articulo.asp?Norma=87" TargetMode="External"/><Relationship Id="rId28" Type="http://schemas.openxmlformats.org/officeDocument/2006/relationships/hyperlink" Target="https://www.ceta.org.co/html/vista_de_un_articulo.asp?Norma=70" TargetMode="External"/><Relationship Id="rId36" Type="http://schemas.openxmlformats.org/officeDocument/2006/relationships/hyperlink" Target="https://www.ceta.org.co/html/vista_de_un_articulo.asp?Norma=6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eta.org.co/html/vista_de_un_articulo.asp?Norma=60481" TargetMode="External"/><Relationship Id="rId19" Type="http://schemas.openxmlformats.org/officeDocument/2006/relationships/hyperlink" Target="https://www.ceta.org.co/html/vista_de_un_articulo.asp?Norma=70" TargetMode="External"/><Relationship Id="rId31" Type="http://schemas.openxmlformats.org/officeDocument/2006/relationships/hyperlink" Target="https://www.ceta.org.co/html/vista_de_un_articulo.asp?Norma=316" TargetMode="External"/><Relationship Id="rId44" Type="http://schemas.openxmlformats.org/officeDocument/2006/relationships/hyperlink" Target="https://www.ceta.org.co/html/vista_de_un_articulo.asp?Norma=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ta.org.co/html/vista_de_un_articulo.asp?Norma=313" TargetMode="External"/><Relationship Id="rId14" Type="http://schemas.openxmlformats.org/officeDocument/2006/relationships/hyperlink" Target="https://www.ceta.org.co/html/vista_de_un_articulo.asp?Norma=88" TargetMode="External"/><Relationship Id="rId22" Type="http://schemas.openxmlformats.org/officeDocument/2006/relationships/hyperlink" Target="https://www.ceta.org.co/html/vista_de_un_articulo.asp?Norma=316" TargetMode="External"/><Relationship Id="rId27" Type="http://schemas.openxmlformats.org/officeDocument/2006/relationships/hyperlink" Target="https://www.ceta.org.co/html/vista_de_un_articulo.asp?Norma=316" TargetMode="External"/><Relationship Id="rId30" Type="http://schemas.openxmlformats.org/officeDocument/2006/relationships/hyperlink" Target="https://www.ceta.org.co/html/vista_de_un_articulo.asp?Norma=60481" TargetMode="External"/><Relationship Id="rId35" Type="http://schemas.openxmlformats.org/officeDocument/2006/relationships/hyperlink" Target="https://www.ceta.org.co/html/vista_de_un_articulo.asp?Norma=316" TargetMode="External"/><Relationship Id="rId43" Type="http://schemas.openxmlformats.org/officeDocument/2006/relationships/hyperlink" Target="https://www.ceta.org.co/html/vista_de_un_articulo.asp?Norma=3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eta.org.co/html/vista_de_un_articulo.asp?Norma=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Delgado</dc:creator>
  <cp:keywords/>
  <dc:description/>
  <cp:lastModifiedBy>Alejandro Delgado</cp:lastModifiedBy>
  <cp:revision>6</cp:revision>
  <dcterms:created xsi:type="dcterms:W3CDTF">2019-07-25T17:41:00Z</dcterms:created>
  <dcterms:modified xsi:type="dcterms:W3CDTF">2019-08-10T17:43:00Z</dcterms:modified>
</cp:coreProperties>
</file>