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1CA" w:rsidRPr="001D11CA" w:rsidRDefault="001D11CA" w:rsidP="001D11CA">
      <w:pPr>
        <w:jc w:val="center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1D11CA">
        <w:rPr>
          <w:rFonts w:ascii="Segoe UI" w:eastAsia="Times New Roman" w:hAnsi="Segoe UI" w:cs="Segoe UI"/>
          <w:b/>
          <w:bCs/>
          <w:color w:val="0000FF"/>
          <w:sz w:val="28"/>
          <w:szCs w:val="28"/>
          <w:lang w:eastAsia="es-CO"/>
        </w:rPr>
        <w:t xml:space="preserve">OFICIO </w:t>
      </w:r>
      <w:proofErr w:type="spellStart"/>
      <w:r w:rsidRPr="001D11CA">
        <w:rPr>
          <w:rFonts w:ascii="Segoe UI" w:eastAsia="Times New Roman" w:hAnsi="Segoe UI" w:cs="Segoe UI"/>
          <w:b/>
          <w:bCs/>
          <w:color w:val="0000FF"/>
          <w:sz w:val="28"/>
          <w:szCs w:val="28"/>
          <w:lang w:eastAsia="es-CO"/>
        </w:rPr>
        <w:t>Nº</w:t>
      </w:r>
      <w:proofErr w:type="spellEnd"/>
      <w:r w:rsidRPr="001D11CA">
        <w:rPr>
          <w:rFonts w:ascii="Segoe UI" w:eastAsia="Times New Roman" w:hAnsi="Segoe UI" w:cs="Segoe UI"/>
          <w:b/>
          <w:bCs/>
          <w:color w:val="0000FF"/>
          <w:sz w:val="28"/>
          <w:szCs w:val="28"/>
          <w:lang w:eastAsia="es-CO"/>
        </w:rPr>
        <w:t xml:space="preserve"> 2739 [0</w:t>
      </w:r>
      <w:bookmarkStart w:id="0" w:name="_GoBack"/>
      <w:r w:rsidRPr="001D11CA">
        <w:rPr>
          <w:rFonts w:ascii="Segoe UI" w:eastAsia="Times New Roman" w:hAnsi="Segoe UI" w:cs="Segoe UI"/>
          <w:b/>
          <w:bCs/>
          <w:color w:val="0000FF"/>
          <w:sz w:val="28"/>
          <w:szCs w:val="28"/>
          <w:lang w:eastAsia="es-CO"/>
        </w:rPr>
        <w:t>29783</w:t>
      </w:r>
      <w:bookmarkEnd w:id="0"/>
      <w:r w:rsidRPr="001D11CA">
        <w:rPr>
          <w:rFonts w:ascii="Segoe UI" w:eastAsia="Times New Roman" w:hAnsi="Segoe UI" w:cs="Segoe UI"/>
          <w:b/>
          <w:bCs/>
          <w:color w:val="0000FF"/>
          <w:sz w:val="28"/>
          <w:szCs w:val="28"/>
          <w:lang w:eastAsia="es-CO"/>
        </w:rPr>
        <w:t>]</w:t>
      </w:r>
    </w:p>
    <w:p w:rsidR="001D11CA" w:rsidRPr="001D11CA" w:rsidRDefault="001D11CA" w:rsidP="001D11CA">
      <w:pPr>
        <w:jc w:val="center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1D11CA">
        <w:rPr>
          <w:rFonts w:ascii="Segoe UI" w:eastAsia="Times New Roman" w:hAnsi="Segoe UI" w:cs="Segoe UI"/>
          <w:b/>
          <w:bCs/>
          <w:color w:val="0000FF"/>
          <w:sz w:val="28"/>
          <w:szCs w:val="28"/>
          <w:lang w:eastAsia="es-CO"/>
        </w:rPr>
        <w:t>03-12-2019</w:t>
      </w:r>
    </w:p>
    <w:p w:rsidR="001D11CA" w:rsidRPr="001D11CA" w:rsidRDefault="001D11CA" w:rsidP="001D11CA">
      <w:pPr>
        <w:jc w:val="center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1D11CA">
        <w:rPr>
          <w:rFonts w:ascii="Segoe UI" w:eastAsia="Times New Roman" w:hAnsi="Segoe UI" w:cs="Segoe UI"/>
          <w:b/>
          <w:bCs/>
          <w:color w:val="0000FF"/>
          <w:sz w:val="28"/>
          <w:szCs w:val="28"/>
          <w:lang w:eastAsia="es-CO"/>
        </w:rPr>
        <w:t>DIAN</w:t>
      </w:r>
    </w:p>
    <w:p w:rsidR="001D11CA" w:rsidRPr="001D11CA" w:rsidRDefault="001D11CA" w:rsidP="001D11CA">
      <w:pPr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1D11CA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1D11CA" w:rsidRPr="001D11CA" w:rsidRDefault="001D11CA" w:rsidP="001D11CA">
      <w:pPr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1D11CA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1D11CA" w:rsidRPr="001D11CA" w:rsidRDefault="001D11CA" w:rsidP="001D11CA">
      <w:pPr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1D11CA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Subdirección de Gestión Normativa y Doctrina</w:t>
      </w:r>
    </w:p>
    <w:p w:rsidR="001D11CA" w:rsidRPr="001D11CA" w:rsidRDefault="001D11CA" w:rsidP="001D11CA">
      <w:pPr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1D11CA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100208221-002739</w:t>
      </w:r>
    </w:p>
    <w:p w:rsidR="001D11CA" w:rsidRPr="001D11CA" w:rsidRDefault="001D11CA" w:rsidP="001D11CA">
      <w:pPr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1D11CA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Bogotá, D.C.</w:t>
      </w:r>
    </w:p>
    <w:p w:rsidR="001D11CA" w:rsidRPr="001D11CA" w:rsidRDefault="001D11CA" w:rsidP="001D11CA">
      <w:pPr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1D11CA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1D11CA" w:rsidRPr="001D11CA" w:rsidRDefault="001D11CA" w:rsidP="001D11CA">
      <w:pPr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proofErr w:type="spellStart"/>
      <w:r w:rsidRPr="001D11CA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es-CO"/>
        </w:rPr>
        <w:t>Ref</w:t>
      </w:r>
      <w:proofErr w:type="spellEnd"/>
      <w:r w:rsidRPr="001D11CA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es-CO"/>
        </w:rPr>
        <w:t>:</w:t>
      </w:r>
      <w:r w:rsidRPr="001D11CA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Radicado 100089052 del 18/10/2019</w:t>
      </w:r>
    </w:p>
    <w:p w:rsidR="001D11CA" w:rsidRPr="001D11CA" w:rsidRDefault="001D11CA" w:rsidP="001D11CA">
      <w:pPr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1D11CA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2"/>
        <w:gridCol w:w="271"/>
        <w:gridCol w:w="271"/>
        <w:gridCol w:w="4132"/>
      </w:tblGrid>
      <w:tr w:rsidR="001D11CA" w:rsidRPr="001D11CA" w:rsidTr="001D11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1CA" w:rsidRPr="001D11CA" w:rsidRDefault="001D11CA" w:rsidP="001D11CA">
            <w:pPr>
              <w:rPr>
                <w:rFonts w:ascii="Arial" w:eastAsia="Times New Roman" w:hAnsi="Arial" w:cs="Arial"/>
                <w:lang w:eastAsia="es-CO"/>
              </w:rPr>
            </w:pPr>
            <w:r w:rsidRPr="001D11CA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Tema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1CA" w:rsidRPr="001D11CA" w:rsidRDefault="001D11CA" w:rsidP="001D11CA">
            <w:pPr>
              <w:rPr>
                <w:rFonts w:ascii="Arial" w:eastAsia="Times New Roman" w:hAnsi="Arial" w:cs="Arial"/>
                <w:lang w:eastAsia="es-CO"/>
              </w:rPr>
            </w:pPr>
            <w:r w:rsidRPr="001D11CA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1CA" w:rsidRPr="001D11CA" w:rsidRDefault="001D11CA" w:rsidP="001D11CA">
            <w:pPr>
              <w:rPr>
                <w:rFonts w:ascii="Arial" w:eastAsia="Times New Roman" w:hAnsi="Arial" w:cs="Arial"/>
                <w:lang w:eastAsia="es-CO"/>
              </w:rPr>
            </w:pPr>
            <w:r w:rsidRPr="001D11CA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1CA" w:rsidRPr="001D11CA" w:rsidRDefault="001D11CA" w:rsidP="001D11CA">
            <w:pPr>
              <w:rPr>
                <w:rFonts w:ascii="Arial" w:eastAsia="Times New Roman" w:hAnsi="Arial" w:cs="Arial"/>
                <w:lang w:eastAsia="es-CO"/>
              </w:rPr>
            </w:pPr>
            <w:r w:rsidRPr="001D11CA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Impuesto sobre la Renta y Complementarios</w:t>
            </w:r>
          </w:p>
        </w:tc>
      </w:tr>
      <w:tr w:rsidR="001D11CA" w:rsidRPr="001D11CA" w:rsidTr="001D11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1CA" w:rsidRPr="001D11CA" w:rsidRDefault="001D11CA" w:rsidP="001D11CA">
            <w:pPr>
              <w:rPr>
                <w:rFonts w:ascii="Arial" w:eastAsia="Times New Roman" w:hAnsi="Arial" w:cs="Arial"/>
                <w:lang w:eastAsia="es-CO"/>
              </w:rPr>
            </w:pPr>
            <w:r w:rsidRPr="001D11CA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Descriptores</w:t>
            </w:r>
          </w:p>
          <w:p w:rsidR="001D11CA" w:rsidRPr="001D11CA" w:rsidRDefault="001D11CA" w:rsidP="001D11CA">
            <w:pPr>
              <w:rPr>
                <w:rFonts w:ascii="Arial" w:eastAsia="Times New Roman" w:hAnsi="Arial" w:cs="Arial"/>
                <w:lang w:eastAsia="es-CO"/>
              </w:rPr>
            </w:pPr>
            <w:r w:rsidRPr="001D11CA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1CA" w:rsidRPr="001D11CA" w:rsidRDefault="001D11CA" w:rsidP="001D11CA">
            <w:pPr>
              <w:rPr>
                <w:rFonts w:ascii="Arial" w:eastAsia="Times New Roman" w:hAnsi="Arial" w:cs="Arial"/>
                <w:lang w:eastAsia="es-CO"/>
              </w:rPr>
            </w:pPr>
            <w:r w:rsidRPr="001D11CA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1CA" w:rsidRPr="001D11CA" w:rsidRDefault="001D11CA" w:rsidP="001D11CA">
            <w:pPr>
              <w:rPr>
                <w:rFonts w:ascii="Arial" w:eastAsia="Times New Roman" w:hAnsi="Arial" w:cs="Arial"/>
                <w:lang w:eastAsia="es-CO"/>
              </w:rPr>
            </w:pPr>
            <w:r w:rsidRPr="001D11CA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1CA" w:rsidRPr="001D11CA" w:rsidRDefault="001D11CA" w:rsidP="001D11CA">
            <w:pPr>
              <w:rPr>
                <w:rFonts w:ascii="Arial" w:eastAsia="Times New Roman" w:hAnsi="Arial" w:cs="Arial"/>
                <w:lang w:eastAsia="es-CO"/>
              </w:rPr>
            </w:pPr>
            <w:r w:rsidRPr="001D11CA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Realización de las Deducciones</w:t>
            </w:r>
          </w:p>
          <w:p w:rsidR="001D11CA" w:rsidRPr="001D11CA" w:rsidRDefault="001D11CA" w:rsidP="001D11CA">
            <w:pPr>
              <w:rPr>
                <w:rFonts w:ascii="Arial" w:eastAsia="Times New Roman" w:hAnsi="Arial" w:cs="Arial"/>
                <w:lang w:eastAsia="es-CO"/>
              </w:rPr>
            </w:pPr>
            <w:r w:rsidRPr="001D11CA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Realización de los Costos</w:t>
            </w:r>
          </w:p>
          <w:p w:rsidR="001D11CA" w:rsidRPr="001D11CA" w:rsidRDefault="001D11CA" w:rsidP="001D11CA">
            <w:pPr>
              <w:rPr>
                <w:rFonts w:ascii="Arial" w:eastAsia="Times New Roman" w:hAnsi="Arial" w:cs="Arial"/>
                <w:lang w:eastAsia="es-CO"/>
              </w:rPr>
            </w:pPr>
            <w:r w:rsidRPr="001D11CA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Realización del Ingreso</w:t>
            </w:r>
          </w:p>
        </w:tc>
      </w:tr>
      <w:tr w:rsidR="001D11CA" w:rsidRPr="001D11CA" w:rsidTr="001D11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1CA" w:rsidRPr="001D11CA" w:rsidRDefault="001D11CA" w:rsidP="001D11CA">
            <w:pPr>
              <w:rPr>
                <w:rFonts w:ascii="Arial" w:eastAsia="Times New Roman" w:hAnsi="Arial" w:cs="Arial"/>
                <w:lang w:eastAsia="es-CO"/>
              </w:rPr>
            </w:pPr>
            <w:r w:rsidRPr="001D11CA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Fuentes formales</w:t>
            </w:r>
          </w:p>
          <w:p w:rsidR="001D11CA" w:rsidRPr="001D11CA" w:rsidRDefault="001D11CA" w:rsidP="001D11CA">
            <w:pPr>
              <w:rPr>
                <w:rFonts w:ascii="Arial" w:eastAsia="Times New Roman" w:hAnsi="Arial" w:cs="Arial"/>
                <w:lang w:eastAsia="es-CO"/>
              </w:rPr>
            </w:pPr>
            <w:r w:rsidRPr="001D11CA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1CA" w:rsidRPr="001D11CA" w:rsidRDefault="001D11CA" w:rsidP="001D11CA">
            <w:pPr>
              <w:rPr>
                <w:rFonts w:ascii="Arial" w:eastAsia="Times New Roman" w:hAnsi="Arial" w:cs="Arial"/>
                <w:lang w:eastAsia="es-CO"/>
              </w:rPr>
            </w:pPr>
            <w:r w:rsidRPr="001D11CA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1CA" w:rsidRPr="001D11CA" w:rsidRDefault="001D11CA" w:rsidP="001D11CA">
            <w:pPr>
              <w:rPr>
                <w:rFonts w:ascii="Arial" w:eastAsia="Times New Roman" w:hAnsi="Arial" w:cs="Arial"/>
                <w:lang w:eastAsia="es-CO"/>
              </w:rPr>
            </w:pPr>
            <w:r w:rsidRPr="001D11CA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1CA" w:rsidRPr="001D11CA" w:rsidRDefault="001D11CA" w:rsidP="001D11CA">
            <w:pPr>
              <w:rPr>
                <w:rFonts w:ascii="Arial" w:eastAsia="Times New Roman" w:hAnsi="Arial" w:cs="Arial"/>
                <w:lang w:eastAsia="es-CO"/>
              </w:rPr>
            </w:pPr>
            <w:hyperlink r:id="rId5" w:tooltip="Estatuto Tributario CETA" w:history="1">
              <w:r w:rsidRPr="001D11CA">
                <w:rPr>
                  <w:rFonts w:ascii="Segoe UI" w:eastAsia="Times New Roman" w:hAnsi="Segoe UI" w:cs="Segoe UI"/>
                  <w:color w:val="0089E1"/>
                  <w:sz w:val="20"/>
                  <w:szCs w:val="20"/>
                  <w:lang w:eastAsia="es-CO"/>
                </w:rPr>
                <w:t>Artículo 21-1</w:t>
              </w:r>
            </w:hyperlink>
            <w:r w:rsidRPr="001D11CA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del Estatuto Tributario</w:t>
            </w:r>
          </w:p>
          <w:p w:rsidR="001D11CA" w:rsidRPr="001D11CA" w:rsidRDefault="001D11CA" w:rsidP="001D11CA">
            <w:pPr>
              <w:rPr>
                <w:rFonts w:ascii="Arial" w:eastAsia="Times New Roman" w:hAnsi="Arial" w:cs="Arial"/>
                <w:lang w:eastAsia="es-CO"/>
              </w:rPr>
            </w:pPr>
            <w:hyperlink r:id="rId6" w:tooltip="Estatuto Tributario CETA" w:history="1">
              <w:r w:rsidRPr="001D11CA">
                <w:rPr>
                  <w:rFonts w:ascii="Segoe UI" w:eastAsia="Times New Roman" w:hAnsi="Segoe UI" w:cs="Segoe UI"/>
                  <w:color w:val="0089E1"/>
                  <w:sz w:val="20"/>
                  <w:szCs w:val="20"/>
                  <w:lang w:eastAsia="es-CO"/>
                </w:rPr>
                <w:t>Artículo 28</w:t>
              </w:r>
            </w:hyperlink>
            <w:r w:rsidRPr="001D11CA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del Estatuto Tributario</w:t>
            </w:r>
          </w:p>
          <w:p w:rsidR="001D11CA" w:rsidRPr="001D11CA" w:rsidRDefault="001D11CA" w:rsidP="001D11CA">
            <w:pPr>
              <w:rPr>
                <w:rFonts w:ascii="Arial" w:eastAsia="Times New Roman" w:hAnsi="Arial" w:cs="Arial"/>
                <w:lang w:eastAsia="es-CO"/>
              </w:rPr>
            </w:pPr>
            <w:r w:rsidRPr="001D11CA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Artículo 54 (sic) del Estatuto Tributario</w:t>
            </w:r>
          </w:p>
          <w:p w:rsidR="001D11CA" w:rsidRPr="001D11CA" w:rsidRDefault="001D11CA" w:rsidP="001D11CA">
            <w:pPr>
              <w:rPr>
                <w:rFonts w:ascii="Arial" w:eastAsia="Times New Roman" w:hAnsi="Arial" w:cs="Arial"/>
                <w:lang w:eastAsia="es-CO"/>
              </w:rPr>
            </w:pPr>
            <w:hyperlink r:id="rId7" w:tooltip="Estatuto Tributario CETA" w:history="1">
              <w:r w:rsidRPr="001D11CA">
                <w:rPr>
                  <w:rFonts w:ascii="Segoe UI" w:eastAsia="Times New Roman" w:hAnsi="Segoe UI" w:cs="Segoe UI"/>
                  <w:color w:val="0089E1"/>
                  <w:sz w:val="20"/>
                  <w:szCs w:val="20"/>
                  <w:lang w:eastAsia="es-CO"/>
                </w:rPr>
                <w:t>Artículo 105 </w:t>
              </w:r>
            </w:hyperlink>
            <w:r w:rsidRPr="001D11CA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del Estatuto Tributario</w:t>
            </w:r>
          </w:p>
        </w:tc>
      </w:tr>
    </w:tbl>
    <w:p w:rsidR="001D11CA" w:rsidRPr="001D11CA" w:rsidRDefault="001D11CA" w:rsidP="001D11CA">
      <w:pPr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1D11CA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1D11CA" w:rsidRPr="001D11CA" w:rsidRDefault="001D11CA" w:rsidP="001D11CA">
      <w:pPr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1D11CA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1D11CA" w:rsidRPr="001D11CA" w:rsidRDefault="001D11CA" w:rsidP="001D11CA">
      <w:pPr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1D11CA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Estimado señor Salazar:</w:t>
      </w:r>
    </w:p>
    <w:p w:rsidR="001D11CA" w:rsidRPr="001D11CA" w:rsidRDefault="001D11CA" w:rsidP="001D11CA">
      <w:pPr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1D11CA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1D11CA" w:rsidRPr="001D11CA" w:rsidRDefault="001D11CA" w:rsidP="001D11CA">
      <w:pPr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1D11CA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De conformidad con lo preceptuado en el artículo 20 del Decreto 4048 de 2008 este Despacho está facultado para resolver las consultas que se formulen sobre la interpretación y aplicación de las normas tributarias, aduaneras y cambiarias, en el marco de la competencia asignada a la Dirección de Impuestos y Aduanas Nacionales.</w:t>
      </w:r>
    </w:p>
    <w:p w:rsidR="001D11CA" w:rsidRPr="001D11CA" w:rsidRDefault="001D11CA" w:rsidP="001D11CA">
      <w:pPr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1D11CA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1D11CA" w:rsidRPr="001D11CA" w:rsidRDefault="001D11CA" w:rsidP="001D11CA">
      <w:pPr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1D11CA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Previo a analizar la consulta planteada, consideramos necesario explicar que, de acuerdo con las competencias funcionales de este despacho los pronunciamientos emitidos en respuesta a peticiones allegadas se resuelven con base a criterios legales de interpretación de las normas jurídicas, los cuales se encuentran consagrados en el Código Civil.</w:t>
      </w:r>
    </w:p>
    <w:p w:rsidR="001D11CA" w:rsidRPr="001D11CA" w:rsidRDefault="001D11CA" w:rsidP="001D11CA">
      <w:pPr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1D11CA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1D11CA" w:rsidRPr="001D11CA" w:rsidRDefault="001D11CA" w:rsidP="001D11CA">
      <w:pPr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1D11CA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Así mismo, las respuestas emitidas son una adecuación en abstracto de las normas vigentes a situaciones concretas, las cuales no tienen como fin solucionar problemáticas individuales, ni juzgar, valorar o asesorar a otras dependencias, entidades públicas y/o privadas en el desarrollo de sus actividades, funciones y competencias.</w:t>
      </w:r>
    </w:p>
    <w:p w:rsidR="001D11CA" w:rsidRPr="001D11CA" w:rsidRDefault="001D11CA" w:rsidP="001D11CA">
      <w:pPr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1D11CA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1D11CA" w:rsidRPr="001D11CA" w:rsidRDefault="001D11CA" w:rsidP="001D11CA">
      <w:pPr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1D11CA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Mediante escrito radicado No. 100089052 del 17 de octubre de dos mil diecinueve (2019) está Subdirección recibió una consulta por medio de la cual se solicita aclarar la siguiente consulta:</w:t>
      </w:r>
    </w:p>
    <w:p w:rsidR="001D11CA" w:rsidRPr="001D11CA" w:rsidRDefault="001D11CA" w:rsidP="001D11CA">
      <w:pPr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1D11CA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1D11CA" w:rsidRPr="001D11CA" w:rsidRDefault="001D11CA" w:rsidP="001D11CA">
      <w:pPr>
        <w:ind w:left="284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1D11CA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“(…) cual es el tratamiento fiscal de los títulos de renta fija clasificados al valor razonable con cambios en el otro resultado integral (...)”.</w:t>
      </w:r>
    </w:p>
    <w:p w:rsidR="001D11CA" w:rsidRPr="001D11CA" w:rsidRDefault="001D11CA" w:rsidP="001D11CA">
      <w:pPr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1D11CA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 </w:t>
      </w:r>
    </w:p>
    <w:p w:rsidR="001D11CA" w:rsidRPr="001D11CA" w:rsidRDefault="001D11CA" w:rsidP="001D11CA">
      <w:pPr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1D11CA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En atención a la consulta, se procede a analizar las siguientes consideraciones tributarias:</w:t>
      </w:r>
    </w:p>
    <w:p w:rsidR="001D11CA" w:rsidRPr="001D11CA" w:rsidRDefault="001D11CA" w:rsidP="001D11CA">
      <w:pPr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1D11CA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1D11CA" w:rsidRPr="001D11CA" w:rsidRDefault="001D11CA" w:rsidP="001D11CA">
      <w:pPr>
        <w:ind w:left="284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1D11CA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 xml:space="preserve">1. El capítulo 4 de la NIIF 9 establece que los activos o instrumentos financieros sean clasificados según se midan posteriormente: i) a valor razonable con cambios en resultados, ii) a costo amortizado, y </w:t>
      </w:r>
      <w:proofErr w:type="spellStart"/>
      <w:r w:rsidRPr="001D11CA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iii</w:t>
      </w:r>
      <w:proofErr w:type="spellEnd"/>
      <w:r w:rsidRPr="001D11CA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) a valor razonable con cambios en el otro resultado integral.</w:t>
      </w:r>
    </w:p>
    <w:p w:rsidR="001D11CA" w:rsidRPr="001D11CA" w:rsidRDefault="001D11CA" w:rsidP="001D11CA">
      <w:pPr>
        <w:ind w:left="284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1D11CA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1D11CA" w:rsidRPr="001D11CA" w:rsidRDefault="001D11CA" w:rsidP="001D11CA">
      <w:pPr>
        <w:ind w:left="284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1D11CA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lastRenderedPageBreak/>
        <w:t>2. Respecto a lo anterior, es necesario resaltar que el Estatuto Tributario (en adelante "E.T.") reconoce expresamente el tratamiento tributario aplicable a:</w:t>
      </w:r>
    </w:p>
    <w:p w:rsidR="001D11CA" w:rsidRPr="001D11CA" w:rsidRDefault="001D11CA" w:rsidP="001D11CA">
      <w:pPr>
        <w:ind w:left="284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1D11CA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1D11CA" w:rsidRPr="001D11CA" w:rsidRDefault="001D11CA" w:rsidP="001D11CA">
      <w:pPr>
        <w:ind w:left="284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1D11CA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2.1. Los activos o instrumentos financieros medidos a valor razonable con cambios en resultados:</w:t>
      </w:r>
    </w:p>
    <w:p w:rsidR="001D11CA" w:rsidRPr="001D11CA" w:rsidRDefault="001D11CA" w:rsidP="001D11CA">
      <w:pPr>
        <w:ind w:left="284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1D11CA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1D11CA" w:rsidRPr="001D11CA" w:rsidRDefault="001D11CA" w:rsidP="001D11CA">
      <w:pPr>
        <w:ind w:left="284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1D11CA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a) El </w:t>
      </w:r>
      <w:hyperlink r:id="rId8" w:tooltip="Estatuto Tributario CETA" w:history="1">
        <w:r w:rsidRPr="001D11CA">
          <w:rPr>
            <w:rFonts w:ascii="Segoe UI" w:eastAsia="Times New Roman" w:hAnsi="Segoe UI" w:cs="Segoe UI"/>
            <w:color w:val="0089E1"/>
            <w:sz w:val="18"/>
            <w:szCs w:val="18"/>
            <w:lang w:eastAsia="es-CO"/>
          </w:rPr>
          <w:t>artículo 33</w:t>
        </w:r>
      </w:hyperlink>
      <w:r w:rsidRPr="001D11CA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del E.T. establece que:</w:t>
      </w:r>
    </w:p>
    <w:p w:rsidR="001D11CA" w:rsidRPr="001D11CA" w:rsidRDefault="001D11CA" w:rsidP="001D11CA">
      <w:pPr>
        <w:ind w:left="284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1D11CA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1D11CA" w:rsidRPr="001D11CA" w:rsidRDefault="001D11CA" w:rsidP="001D11CA">
      <w:pPr>
        <w:ind w:left="284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1D11CA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es-CO"/>
        </w:rPr>
        <w:t>“</w:t>
      </w:r>
      <w:hyperlink r:id="rId9" w:tooltip="Estatuto Tributario CETA" w:history="1">
        <w:r w:rsidRPr="001D11CA">
          <w:rPr>
            <w:rFonts w:ascii="Segoe UI" w:eastAsia="Times New Roman" w:hAnsi="Segoe UI" w:cs="Segoe UI"/>
            <w:b/>
            <w:bCs/>
            <w:i/>
            <w:iCs/>
            <w:color w:val="0089E1"/>
            <w:sz w:val="18"/>
            <w:szCs w:val="18"/>
            <w:lang w:eastAsia="es-CO"/>
          </w:rPr>
          <w:t>Art. 33</w:t>
        </w:r>
      </w:hyperlink>
      <w:r w:rsidRPr="001D11CA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es-CO"/>
        </w:rPr>
        <w:t>. Tratamiento tributario de instrumentos financieros medidos a valor razonable.</w:t>
      </w:r>
    </w:p>
    <w:p w:rsidR="001D11CA" w:rsidRPr="001D11CA" w:rsidRDefault="001D11CA" w:rsidP="001D11CA">
      <w:pPr>
        <w:ind w:left="284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1D11CA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1D11CA" w:rsidRPr="001D11CA" w:rsidRDefault="001D11CA" w:rsidP="001D11CA">
      <w:pPr>
        <w:ind w:left="284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1D11CA">
        <w:rPr>
          <w:rFonts w:ascii="Segoe UI" w:eastAsia="Times New Roman" w:hAnsi="Segoe UI" w:cs="Segoe UI"/>
          <w:i/>
          <w:iCs/>
          <w:color w:val="000000"/>
          <w:sz w:val="18"/>
          <w:szCs w:val="18"/>
          <w:u w:val="single"/>
          <w:lang w:eastAsia="es-CO"/>
        </w:rPr>
        <w:t>Para efectos fiscales los instrumentos financieros medidos a valor razonable, con cambios en resultados tendrán el siguiente tratamiento:</w:t>
      </w:r>
    </w:p>
    <w:p w:rsidR="001D11CA" w:rsidRPr="001D11CA" w:rsidRDefault="001D11CA" w:rsidP="001D11CA">
      <w:pPr>
        <w:ind w:left="284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1D11CA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1D11CA" w:rsidRPr="001D11CA" w:rsidRDefault="001D11CA" w:rsidP="001D11CA">
      <w:pPr>
        <w:ind w:left="284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1D11CA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es-CO"/>
        </w:rPr>
        <w:t>1. Títulos de renta variable.</w:t>
      </w:r>
      <w:r w:rsidRPr="001D11CA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 Los ingresos, costos y gastos devengados por estos instrumentos, no serán objeto del Impuesto sobre la Renta y Complementarios, sino hasta el momento de su enajenación o liquidación, lo que suceda primero. Para efectos de lo aquí previsto, son títulos de renta variable aquellos cuya estructura financiera varía durante su vida, tales como las acciones.</w:t>
      </w:r>
    </w:p>
    <w:p w:rsidR="001D11CA" w:rsidRPr="001D11CA" w:rsidRDefault="001D11CA" w:rsidP="001D11CA">
      <w:pPr>
        <w:ind w:left="284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1D11CA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1D11CA" w:rsidRPr="001D11CA" w:rsidRDefault="001D11CA" w:rsidP="001D11CA">
      <w:pPr>
        <w:ind w:left="284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1D11CA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es-CO"/>
        </w:rPr>
        <w:t>2. Títulos de renta fija.</w:t>
      </w:r>
      <w:r w:rsidRPr="001D11CA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Respecto de los títulos de renta fija, se siguen las siguientes reglas para efectos del impuesto sobre la renta y complementarios:</w:t>
      </w:r>
    </w:p>
    <w:p w:rsidR="001D11CA" w:rsidRPr="001D11CA" w:rsidRDefault="001D11CA" w:rsidP="001D11CA">
      <w:pPr>
        <w:ind w:left="284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1D11CA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1D11CA" w:rsidRPr="001D11CA" w:rsidRDefault="001D11CA" w:rsidP="001D11CA">
      <w:pPr>
        <w:ind w:left="284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1D11CA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a. El ingreso por concepto de intereses o rendimientos financieros provenientes de estos títulos, se realizará para efectos fiscales de manera linear Este cálculo se hará teniendo en cuenta el valor nominal, la tasa facial, el plazo convenido y el tiempo de tenencia en el año o período gravable del título.</w:t>
      </w:r>
    </w:p>
    <w:p w:rsidR="001D11CA" w:rsidRPr="001D11CA" w:rsidRDefault="001D11CA" w:rsidP="001D11CA">
      <w:pPr>
        <w:ind w:left="284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1D11CA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 </w:t>
      </w:r>
    </w:p>
    <w:p w:rsidR="001D11CA" w:rsidRPr="001D11CA" w:rsidRDefault="001D11CA" w:rsidP="001D11CA">
      <w:pPr>
        <w:ind w:left="284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1D11CA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b. La utilidad o pérdida en la enajenación de títulos de renta fija, se realizará al momento de su enajenación y estará determinada por la diferencia entre el precio de enajenación y el costo fiscal del título.</w:t>
      </w:r>
    </w:p>
    <w:p w:rsidR="001D11CA" w:rsidRPr="001D11CA" w:rsidRDefault="001D11CA" w:rsidP="001D11CA">
      <w:pPr>
        <w:ind w:left="284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1D11CA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 </w:t>
      </w:r>
    </w:p>
    <w:p w:rsidR="001D11CA" w:rsidRPr="001D11CA" w:rsidRDefault="001D11CA" w:rsidP="001D11CA">
      <w:pPr>
        <w:ind w:left="284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1D11CA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c. Para efectos de lo aquí previsto, se entiende por títulos de renta fija, aquellos cuya estructura financiera no varía durante su vida, tales como los bonos, los certificados de depósito a término (CDT) y los TES.</w:t>
      </w:r>
    </w:p>
    <w:p w:rsidR="001D11CA" w:rsidRPr="001D11CA" w:rsidRDefault="001D11CA" w:rsidP="001D11CA">
      <w:pPr>
        <w:ind w:left="284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1D11CA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1D11CA" w:rsidRPr="001D11CA" w:rsidRDefault="001D11CA" w:rsidP="001D11CA">
      <w:pPr>
        <w:ind w:left="284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1D11CA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es-CO"/>
        </w:rPr>
        <w:t>3.</w:t>
      </w:r>
      <w:r w:rsidRPr="001D11CA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 </w:t>
      </w:r>
      <w:r w:rsidRPr="001D11CA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es-CO"/>
        </w:rPr>
        <w:t>Instrumentos derivados financieros.</w:t>
      </w:r>
      <w:r w:rsidRPr="001D11CA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 Los ingresos, costos y gastos devengados por estos instrumentos, no serán objeto del impuesto sobre la renta y complementarios sino hasta el momento de su enajenación o liquidación, lo que suceda primero.</w:t>
      </w:r>
    </w:p>
    <w:p w:rsidR="001D11CA" w:rsidRPr="001D11CA" w:rsidRDefault="001D11CA" w:rsidP="001D11CA">
      <w:pPr>
        <w:ind w:left="284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1D11CA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 </w:t>
      </w:r>
    </w:p>
    <w:p w:rsidR="001D11CA" w:rsidRPr="001D11CA" w:rsidRDefault="001D11CA" w:rsidP="001D11CA">
      <w:pPr>
        <w:ind w:left="284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1D11CA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es-CO"/>
        </w:rPr>
        <w:t>4.</w:t>
      </w:r>
      <w:r w:rsidRPr="001D11CA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 </w:t>
      </w:r>
      <w:r w:rsidRPr="001D11CA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es-CO"/>
        </w:rPr>
        <w:t>Otros instrumentos financieros.</w:t>
      </w:r>
      <w:r w:rsidRPr="001D11CA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 xml:space="preserve"> Los ingresos, costos y gastos generados por la medición de pasivos financieros a valor razonable con cambios en resultados, no serán objeto del impuesto sobre la renta y complementarios sino en lo correspondiente al gasto financiero que se hubiese generado aplicando el modelo del costo amortizado, </w:t>
      </w:r>
      <w:proofErr w:type="gramStart"/>
      <w:r w:rsidRPr="001D11CA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de acuerdo a</w:t>
      </w:r>
      <w:proofErr w:type="gramEnd"/>
      <w:r w:rsidRPr="001D11CA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 xml:space="preserve"> la técnica contable.</w:t>
      </w:r>
    </w:p>
    <w:p w:rsidR="001D11CA" w:rsidRPr="001D11CA" w:rsidRDefault="001D11CA" w:rsidP="001D11CA">
      <w:pPr>
        <w:ind w:left="284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1D11CA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1D11CA" w:rsidRPr="001D11CA" w:rsidRDefault="001D11CA" w:rsidP="001D11CA">
      <w:pPr>
        <w:ind w:left="284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1D11CA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es-CO"/>
        </w:rPr>
        <w:t>Parágrafo 1.</w:t>
      </w:r>
      <w:r w:rsidRPr="001D11CA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 Lo previsto en este artículo se aplicará sin perjuicio de la retención y la autorretención en la fuente por concepto de rendimientos financieros y derivados a que haya lugar.”</w:t>
      </w:r>
    </w:p>
    <w:p w:rsidR="001D11CA" w:rsidRPr="001D11CA" w:rsidRDefault="001D11CA" w:rsidP="001D11CA">
      <w:pPr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1D11CA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1D11CA" w:rsidRPr="001D11CA" w:rsidRDefault="001D11CA" w:rsidP="001D11CA">
      <w:pPr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1D11CA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2.2. Los activos financieros medidos a costo amortizado:</w:t>
      </w:r>
    </w:p>
    <w:p w:rsidR="001D11CA" w:rsidRPr="001D11CA" w:rsidRDefault="001D11CA" w:rsidP="001D11CA">
      <w:pPr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1D11CA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1D11CA" w:rsidRPr="001D11CA" w:rsidRDefault="001D11CA" w:rsidP="001D11CA">
      <w:pPr>
        <w:ind w:left="284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1D11CA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a) El </w:t>
      </w:r>
      <w:hyperlink r:id="rId10" w:tooltip="Estatuto Tributario CETA" w:history="1">
        <w:r w:rsidRPr="001D11CA">
          <w:rPr>
            <w:rFonts w:ascii="Segoe UI" w:eastAsia="Times New Roman" w:hAnsi="Segoe UI" w:cs="Segoe UI"/>
            <w:color w:val="0089E1"/>
            <w:sz w:val="18"/>
            <w:szCs w:val="18"/>
            <w:lang w:eastAsia="es-CO"/>
          </w:rPr>
          <w:t>artículo 33-1</w:t>
        </w:r>
      </w:hyperlink>
      <w:r w:rsidRPr="001D11CA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del E.T. establece que:</w:t>
      </w:r>
    </w:p>
    <w:p w:rsidR="001D11CA" w:rsidRPr="001D11CA" w:rsidRDefault="001D11CA" w:rsidP="001D11CA">
      <w:pPr>
        <w:ind w:left="284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1D11CA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1D11CA" w:rsidRPr="001D11CA" w:rsidRDefault="001D11CA" w:rsidP="001D11CA">
      <w:pPr>
        <w:ind w:left="284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1D11CA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es-CO"/>
        </w:rPr>
        <w:t>“</w:t>
      </w:r>
      <w:hyperlink r:id="rId11" w:tooltip="Estatuto Tributario CETA" w:history="1">
        <w:r w:rsidRPr="001D11CA">
          <w:rPr>
            <w:rFonts w:ascii="Segoe UI" w:eastAsia="Times New Roman" w:hAnsi="Segoe UI" w:cs="Segoe UI"/>
            <w:b/>
            <w:bCs/>
            <w:i/>
            <w:iCs/>
            <w:color w:val="0089E1"/>
            <w:sz w:val="18"/>
            <w:szCs w:val="18"/>
            <w:lang w:eastAsia="es-CO"/>
          </w:rPr>
          <w:t>Art. 33-1</w:t>
        </w:r>
      </w:hyperlink>
      <w:r w:rsidRPr="001D11CA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es-CO"/>
        </w:rPr>
        <w:t>. Tratamiento tributario de instrumentos financieros medidos a costo amortizado.</w:t>
      </w:r>
    </w:p>
    <w:p w:rsidR="001D11CA" w:rsidRPr="001D11CA" w:rsidRDefault="001D11CA" w:rsidP="001D11CA">
      <w:pPr>
        <w:ind w:left="284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1D11CA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1D11CA" w:rsidRPr="001D11CA" w:rsidRDefault="001D11CA" w:rsidP="001D11CA">
      <w:pPr>
        <w:ind w:left="284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1D11CA">
        <w:rPr>
          <w:rFonts w:ascii="Segoe UI" w:eastAsia="Times New Roman" w:hAnsi="Segoe UI" w:cs="Segoe UI"/>
          <w:i/>
          <w:iCs/>
          <w:color w:val="000000"/>
          <w:sz w:val="18"/>
          <w:szCs w:val="18"/>
          <w:u w:val="single"/>
          <w:lang w:eastAsia="es-CO"/>
        </w:rPr>
        <w:t>Los ingresos costos y gastos provenientes de instrumentos financieros medidos a costo amortizado</w:t>
      </w:r>
      <w:r w:rsidRPr="001D11CA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, se entienden realizados de conformidad con lo previsto en el primer inciso del artículo </w:t>
      </w:r>
      <w:hyperlink r:id="rId12" w:tooltip="Estatuto Tributario CETA" w:history="1">
        <w:r w:rsidRPr="001D11CA">
          <w:rPr>
            <w:rFonts w:ascii="Segoe UI" w:eastAsia="Times New Roman" w:hAnsi="Segoe UI" w:cs="Segoe UI"/>
            <w:i/>
            <w:iCs/>
            <w:color w:val="0089E1"/>
            <w:sz w:val="18"/>
            <w:szCs w:val="18"/>
            <w:lang w:eastAsia="es-CO"/>
          </w:rPr>
          <w:t>28</w:t>
        </w:r>
      </w:hyperlink>
      <w:r w:rsidRPr="001D11CA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, </w:t>
      </w:r>
      <w:hyperlink r:id="rId13" w:tooltip="Estatuto Tributario CETA" w:history="1">
        <w:r w:rsidRPr="001D11CA">
          <w:rPr>
            <w:rFonts w:ascii="Segoe UI" w:eastAsia="Times New Roman" w:hAnsi="Segoe UI" w:cs="Segoe UI"/>
            <w:i/>
            <w:iCs/>
            <w:color w:val="0089E1"/>
            <w:sz w:val="18"/>
            <w:szCs w:val="18"/>
            <w:lang w:eastAsia="es-CO"/>
          </w:rPr>
          <w:t>59</w:t>
        </w:r>
      </w:hyperlink>
      <w:r w:rsidRPr="001D11CA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, </w:t>
      </w:r>
      <w:hyperlink r:id="rId14" w:tooltip="Estatuto Tributario CETA" w:history="1">
        <w:r w:rsidRPr="001D11CA">
          <w:rPr>
            <w:rFonts w:ascii="Segoe UI" w:eastAsia="Times New Roman" w:hAnsi="Segoe UI" w:cs="Segoe UI"/>
            <w:i/>
            <w:iCs/>
            <w:color w:val="0089E1"/>
            <w:sz w:val="18"/>
            <w:szCs w:val="18"/>
            <w:lang w:eastAsia="es-CO"/>
          </w:rPr>
          <w:t>105</w:t>
        </w:r>
      </w:hyperlink>
      <w:r w:rsidRPr="001D11CA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 de este Estatuto.”</w:t>
      </w:r>
    </w:p>
    <w:p w:rsidR="001D11CA" w:rsidRPr="001D11CA" w:rsidRDefault="001D11CA" w:rsidP="001D11CA">
      <w:pPr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1D11CA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1D11CA" w:rsidRPr="001D11CA" w:rsidRDefault="001D11CA" w:rsidP="001D11CA">
      <w:pPr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1D11CA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2.3. De lo anterior, es posible considerar que el E.T. no trae expresamente un artículo que reconozca el tratamiento tributario aplicable a los activos o instrumentos financieros medidos a valor razonable con cambios en el otro resultado integral.</w:t>
      </w:r>
    </w:p>
    <w:p w:rsidR="001D11CA" w:rsidRPr="001D11CA" w:rsidRDefault="001D11CA" w:rsidP="001D11CA">
      <w:pPr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1D11CA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lastRenderedPageBreak/>
        <w:t> </w:t>
      </w:r>
    </w:p>
    <w:p w:rsidR="001D11CA" w:rsidRPr="001D11CA" w:rsidRDefault="001D11CA" w:rsidP="001D11CA">
      <w:pPr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1D11CA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2.4. Sin embargo, es preciso resaltar que el </w:t>
      </w:r>
      <w:hyperlink r:id="rId15" w:tooltip="Estatuto Tributario CETA" w:history="1">
        <w:r w:rsidRPr="001D11CA">
          <w:rPr>
            <w:rFonts w:ascii="Segoe UI" w:eastAsia="Times New Roman" w:hAnsi="Segoe UI" w:cs="Segoe UI"/>
            <w:color w:val="0089E1"/>
            <w:sz w:val="18"/>
            <w:szCs w:val="18"/>
            <w:lang w:eastAsia="es-CO"/>
          </w:rPr>
          <w:t>artículo 21-1</w:t>
        </w:r>
      </w:hyperlink>
      <w:r w:rsidRPr="001D11CA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del E.T. establece, entre otros, que:</w:t>
      </w:r>
    </w:p>
    <w:p w:rsidR="001D11CA" w:rsidRPr="001D11CA" w:rsidRDefault="001D11CA" w:rsidP="001D11CA">
      <w:pPr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1D11CA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1D11CA" w:rsidRPr="001D11CA" w:rsidRDefault="001D11CA" w:rsidP="001D11CA">
      <w:pPr>
        <w:ind w:left="284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1D11CA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“</w:t>
      </w:r>
      <w:hyperlink r:id="rId16" w:tooltip="Estatuto Tributario CETA" w:history="1">
        <w:r w:rsidRPr="001D11CA">
          <w:rPr>
            <w:rFonts w:ascii="Segoe UI" w:eastAsia="Times New Roman" w:hAnsi="Segoe UI" w:cs="Segoe UI"/>
            <w:b/>
            <w:bCs/>
            <w:i/>
            <w:iCs/>
            <w:color w:val="0089E1"/>
            <w:sz w:val="18"/>
            <w:szCs w:val="18"/>
            <w:lang w:eastAsia="es-CO"/>
          </w:rPr>
          <w:t>Art. 21-1</w:t>
        </w:r>
      </w:hyperlink>
      <w:r w:rsidRPr="001D11CA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es-CO"/>
        </w:rPr>
        <w:t>.</w:t>
      </w:r>
      <w:r w:rsidRPr="001D11CA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 Para la determinación del impuesto sobre la renta y complementarios, en el valor de los activos, pasivos, patrimonio, ingresos, costos y gastos, los sujetos pasivos de este impuesto obligados a llevar contabilidad </w:t>
      </w:r>
      <w:r w:rsidRPr="001D11CA">
        <w:rPr>
          <w:rFonts w:ascii="Segoe UI" w:eastAsia="Times New Roman" w:hAnsi="Segoe UI" w:cs="Segoe UI"/>
          <w:i/>
          <w:iCs/>
          <w:color w:val="000000"/>
          <w:sz w:val="18"/>
          <w:szCs w:val="18"/>
          <w:u w:val="single"/>
          <w:lang w:eastAsia="es-CO"/>
        </w:rPr>
        <w:t>aplicarán los sistemas de reconocimientos y medición, de conformidad con los marcos técnicos normativos contables vigentes en Colombia, cuando la ley tributaria remita expresamente a ellas y en los casos en que esta no regule la materia</w:t>
      </w:r>
      <w:r w:rsidRPr="001D11CA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. En todo caso, la ley tributaria puede disponer de forma expresa un tratamiento diferente, de conformidad con el artículo 4 de la ley 1314 de 2009.</w:t>
      </w:r>
    </w:p>
    <w:p w:rsidR="001D11CA" w:rsidRPr="001D11CA" w:rsidRDefault="001D11CA" w:rsidP="001D11CA">
      <w:pPr>
        <w:ind w:left="284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1D11CA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 </w:t>
      </w:r>
    </w:p>
    <w:p w:rsidR="001D11CA" w:rsidRPr="001D11CA" w:rsidRDefault="001D11CA" w:rsidP="001D11CA">
      <w:pPr>
        <w:ind w:left="284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1D11CA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(...)</w:t>
      </w:r>
    </w:p>
    <w:p w:rsidR="001D11CA" w:rsidRPr="001D11CA" w:rsidRDefault="001D11CA" w:rsidP="001D11CA">
      <w:pPr>
        <w:ind w:left="284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1D11CA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 </w:t>
      </w:r>
    </w:p>
    <w:p w:rsidR="001D11CA" w:rsidRPr="001D11CA" w:rsidRDefault="001D11CA" w:rsidP="001D11CA">
      <w:pPr>
        <w:ind w:left="284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1D11CA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es-CO"/>
        </w:rPr>
        <w:t>Parágrafo 6.</w:t>
      </w:r>
      <w:r w:rsidRPr="001D11CA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 </w:t>
      </w:r>
      <w:r w:rsidRPr="001D11CA">
        <w:rPr>
          <w:rFonts w:ascii="Segoe UI" w:eastAsia="Times New Roman" w:hAnsi="Segoe UI" w:cs="Segoe UI"/>
          <w:i/>
          <w:iCs/>
          <w:color w:val="000000"/>
          <w:sz w:val="18"/>
          <w:szCs w:val="18"/>
          <w:u w:val="single"/>
          <w:lang w:eastAsia="es-CO"/>
        </w:rPr>
        <w:t xml:space="preserve">Para efectos fiscales, las mediciones que se efectúen a valor presente o valor razonable de conformidad con los marcos técnicos normativos </w:t>
      </w:r>
      <w:proofErr w:type="gramStart"/>
      <w:r w:rsidRPr="001D11CA">
        <w:rPr>
          <w:rFonts w:ascii="Segoe UI" w:eastAsia="Times New Roman" w:hAnsi="Segoe UI" w:cs="Segoe UI"/>
          <w:i/>
          <w:iCs/>
          <w:color w:val="000000"/>
          <w:sz w:val="18"/>
          <w:szCs w:val="18"/>
          <w:u w:val="single"/>
          <w:lang w:eastAsia="es-CO"/>
        </w:rPr>
        <w:t>contables,</w:t>
      </w:r>
      <w:proofErr w:type="gramEnd"/>
      <w:r w:rsidRPr="001D11CA">
        <w:rPr>
          <w:rFonts w:ascii="Segoe UI" w:eastAsia="Times New Roman" w:hAnsi="Segoe UI" w:cs="Segoe UI"/>
          <w:i/>
          <w:iCs/>
          <w:color w:val="000000"/>
          <w:sz w:val="18"/>
          <w:szCs w:val="18"/>
          <w:u w:val="single"/>
          <w:lang w:eastAsia="es-CO"/>
        </w:rPr>
        <w:t xml:space="preserve"> deberán reconocerse al costo, precio de adquisición o valor nominal, siempre y cuando no exista un tratamiento diferente en este estatuto. Por consiguiente, las diferencias que resulten del sistema de medición contable y fiscal no tendrán efectos en el impuesto sobre la renta y complementarios hasta que la transacción se realice mediante la transferencia económica del activo o la extinción del pasivo, según corresponda.</w:t>
      </w:r>
      <w:r w:rsidRPr="001D11CA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”</w:t>
      </w:r>
    </w:p>
    <w:p w:rsidR="001D11CA" w:rsidRPr="001D11CA" w:rsidRDefault="001D11CA" w:rsidP="001D11CA">
      <w:pPr>
        <w:ind w:left="284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1D11CA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1D11CA" w:rsidRPr="001D11CA" w:rsidRDefault="001D11CA" w:rsidP="001D11CA">
      <w:pPr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1D11CA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3. Adicionalmente a lo anterior, es preciso señalar que para efectos del tratamiento aplicable a los ingresos que deban ser representados en el otro resultado integral, tal como sucede en el caso de los activos o instrumentos financieros medidos a valor razonable con cambios en el otro resultado integral, el numeral 10 del </w:t>
      </w:r>
      <w:hyperlink r:id="rId17" w:tooltip="Estatuto Tributario CETA" w:history="1">
        <w:r w:rsidRPr="001D11CA">
          <w:rPr>
            <w:rFonts w:ascii="Segoe UI" w:eastAsia="Times New Roman" w:hAnsi="Segoe UI" w:cs="Segoe UI"/>
            <w:color w:val="0089E1"/>
            <w:sz w:val="18"/>
            <w:szCs w:val="18"/>
            <w:lang w:eastAsia="es-CO"/>
          </w:rPr>
          <w:t>artículo 28</w:t>
        </w:r>
      </w:hyperlink>
      <w:r w:rsidRPr="001D11CA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del E.T. establece que:</w:t>
      </w:r>
    </w:p>
    <w:p w:rsidR="001D11CA" w:rsidRPr="001D11CA" w:rsidRDefault="001D11CA" w:rsidP="001D11CA">
      <w:pPr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1D11CA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1D11CA" w:rsidRPr="001D11CA" w:rsidRDefault="001D11CA" w:rsidP="001D11CA">
      <w:pPr>
        <w:ind w:left="284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1D11CA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es-CO"/>
        </w:rPr>
        <w:t>“</w:t>
      </w:r>
      <w:hyperlink r:id="rId18" w:tooltip="Estatuto Tributario CETA" w:history="1">
        <w:r w:rsidRPr="001D11CA">
          <w:rPr>
            <w:rFonts w:ascii="Segoe UI" w:eastAsia="Times New Roman" w:hAnsi="Segoe UI" w:cs="Segoe UI"/>
            <w:b/>
            <w:bCs/>
            <w:i/>
            <w:iCs/>
            <w:color w:val="0089E1"/>
            <w:sz w:val="18"/>
            <w:szCs w:val="18"/>
            <w:lang w:eastAsia="es-CO"/>
          </w:rPr>
          <w:t>Art. 28</w:t>
        </w:r>
      </w:hyperlink>
      <w:r w:rsidRPr="001D11CA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es-CO"/>
        </w:rPr>
        <w:t xml:space="preserve">. Realización del ingreso para </w:t>
      </w:r>
      <w:proofErr w:type="gramStart"/>
      <w:r w:rsidRPr="001D11CA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es-CO"/>
        </w:rPr>
        <w:t>las obligados</w:t>
      </w:r>
      <w:proofErr w:type="gramEnd"/>
      <w:r w:rsidRPr="001D11CA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es-CO"/>
        </w:rPr>
        <w:t xml:space="preserve"> a llevar contabilidad.</w:t>
      </w:r>
    </w:p>
    <w:p w:rsidR="001D11CA" w:rsidRPr="001D11CA" w:rsidRDefault="001D11CA" w:rsidP="001D11CA">
      <w:pPr>
        <w:ind w:left="284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1D11CA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es-CO"/>
        </w:rPr>
        <w:t> </w:t>
      </w:r>
    </w:p>
    <w:p w:rsidR="001D11CA" w:rsidRPr="001D11CA" w:rsidRDefault="001D11CA" w:rsidP="001D11CA">
      <w:pPr>
        <w:ind w:left="284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1D11CA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Para los contribuyentes que estén obligados a llevar contabilidad, los ingresos realizados fiscalmente son los ingresos devengados contablemente en el año o período gravable.</w:t>
      </w:r>
    </w:p>
    <w:p w:rsidR="001D11CA" w:rsidRPr="001D11CA" w:rsidRDefault="001D11CA" w:rsidP="001D11CA">
      <w:pPr>
        <w:ind w:left="284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1D11CA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 </w:t>
      </w:r>
    </w:p>
    <w:p w:rsidR="001D11CA" w:rsidRPr="001D11CA" w:rsidRDefault="001D11CA" w:rsidP="001D11CA">
      <w:pPr>
        <w:ind w:left="284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1D11CA">
        <w:rPr>
          <w:rFonts w:ascii="Segoe UI" w:eastAsia="Times New Roman" w:hAnsi="Segoe UI" w:cs="Segoe UI"/>
          <w:i/>
          <w:iCs/>
          <w:color w:val="000000"/>
          <w:sz w:val="18"/>
          <w:szCs w:val="18"/>
          <w:u w:val="single"/>
          <w:lang w:eastAsia="es-CO"/>
        </w:rPr>
        <w:t>Los siguientes ingresos, aunque devengados contablemente, generarán una diferencia y su reconocimiento fiscal se hará en el momento en que lo determine este Estatuto y en las condiciones allí previstas</w:t>
      </w:r>
      <w:r w:rsidRPr="001D11CA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:</w:t>
      </w:r>
    </w:p>
    <w:p w:rsidR="001D11CA" w:rsidRPr="001D11CA" w:rsidRDefault="001D11CA" w:rsidP="001D11CA">
      <w:pPr>
        <w:ind w:left="284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1D11CA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(...)</w:t>
      </w:r>
    </w:p>
    <w:p w:rsidR="001D11CA" w:rsidRPr="001D11CA" w:rsidRDefault="001D11CA" w:rsidP="001D11CA">
      <w:pPr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1D11CA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1D11CA" w:rsidRPr="001D11CA" w:rsidRDefault="001D11CA" w:rsidP="001D11CA">
      <w:pPr>
        <w:ind w:left="284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1D11CA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10. </w:t>
      </w:r>
      <w:r w:rsidRPr="001D11CA">
        <w:rPr>
          <w:rFonts w:ascii="Segoe UI" w:eastAsia="Times New Roman" w:hAnsi="Segoe UI" w:cs="Segoe UI"/>
          <w:i/>
          <w:iCs/>
          <w:color w:val="000000"/>
          <w:sz w:val="18"/>
          <w:szCs w:val="18"/>
          <w:u w:val="single"/>
          <w:lang w:eastAsia="es-CO"/>
        </w:rPr>
        <w:t>Los ingresos que de conformidad con los marcos técnicos normativos contables deban ser presentados dentro del otro resultado integral, no serán objeto del impuesto sobre la renta y complementarios, sino hasta el momento en que, de acuerdo con la técnica contable, deban ser presentados en el estado de resultados, o se reclasifique en el otro resultado integral contra un elemento del patrimonio, generando una ganancia para fines fiscales producto de la enajenación, liquidación o baja en cuentas del activo o pasivo cuando a ello haya lugar</w:t>
      </w:r>
      <w:r w:rsidRPr="001D11CA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. (...).”</w:t>
      </w:r>
    </w:p>
    <w:p w:rsidR="001D11CA" w:rsidRPr="001D11CA" w:rsidRDefault="001D11CA" w:rsidP="001D11CA">
      <w:pPr>
        <w:ind w:left="284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1D11CA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1D11CA" w:rsidRPr="001D11CA" w:rsidRDefault="001D11CA" w:rsidP="001D11CA">
      <w:pPr>
        <w:ind w:left="284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1D11CA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3.1. De lo anterior, es posible evidenciar que los ingresos que de conformidad con los marcos técnicos normativos contables deban ser presentados dentro del otro resultado integral, no serán objeto del impuesto sobre la renta y complementarios.</w:t>
      </w:r>
    </w:p>
    <w:p w:rsidR="001D11CA" w:rsidRPr="001D11CA" w:rsidRDefault="001D11CA" w:rsidP="001D11CA">
      <w:pPr>
        <w:ind w:left="284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1D11CA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1D11CA" w:rsidRPr="001D11CA" w:rsidRDefault="001D11CA" w:rsidP="001D11CA">
      <w:pPr>
        <w:ind w:left="284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1D11CA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3.2. Sin embargo, dichos ingresos serán reconocidos para efectos del impuesto sobre la renta y complementarios en el momento en que, de acuerdo con la técnica contable, es decir la NIIF 9, deban ser: i) presentados en el estado de resultados o ii) se reclasifiquen en el otro resultado integral contra un elemento de patrimonio.</w:t>
      </w:r>
    </w:p>
    <w:p w:rsidR="001D11CA" w:rsidRPr="001D11CA" w:rsidRDefault="001D11CA" w:rsidP="001D11CA">
      <w:pPr>
        <w:ind w:left="284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1D11CA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1D11CA" w:rsidRPr="001D11CA" w:rsidRDefault="001D11CA" w:rsidP="001D11CA">
      <w:pPr>
        <w:ind w:left="284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1D11CA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3.3. Por lo anterior, el tratamiento aplicable a la realización de los ingresos derivados de los activos o instrumentos financieros medidos a valor razonable con cambios en el otro resultado integral, será el señalado en el numeral 10 del </w:t>
      </w:r>
      <w:hyperlink r:id="rId19" w:tooltip="Estatuto Tributario CETA" w:history="1">
        <w:r w:rsidRPr="001D11CA">
          <w:rPr>
            <w:rFonts w:ascii="Segoe UI" w:eastAsia="Times New Roman" w:hAnsi="Segoe UI" w:cs="Segoe UI"/>
            <w:color w:val="0089E1"/>
            <w:sz w:val="18"/>
            <w:szCs w:val="18"/>
            <w:lang w:eastAsia="es-CO"/>
          </w:rPr>
          <w:t>artículo 28</w:t>
        </w:r>
      </w:hyperlink>
      <w:r w:rsidRPr="001D11CA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del E.T., tal como se mencionó en el numeral anterior.</w:t>
      </w:r>
    </w:p>
    <w:p w:rsidR="001D11CA" w:rsidRPr="001D11CA" w:rsidRDefault="001D11CA" w:rsidP="001D11CA">
      <w:pPr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1D11CA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1D11CA" w:rsidRPr="001D11CA" w:rsidRDefault="001D11CA" w:rsidP="001D11CA">
      <w:pPr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1D11CA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lastRenderedPageBreak/>
        <w:t>4. Respecto al tratamiento aplicable a los costos es preciso señalar que el literal g) del numeral 1 del artículo 54(sic) del E.T. establece que:</w:t>
      </w:r>
    </w:p>
    <w:p w:rsidR="001D11CA" w:rsidRPr="001D11CA" w:rsidRDefault="001D11CA" w:rsidP="001D11CA">
      <w:pPr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1D11CA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1D11CA" w:rsidRPr="001D11CA" w:rsidRDefault="001D11CA" w:rsidP="001D11CA">
      <w:pPr>
        <w:ind w:left="284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1D11CA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“g. Los costos que de conformidad con los marcos técnicos normativos contables deban ser presentados dentro del otro resultado integral, </w:t>
      </w:r>
      <w:r w:rsidRPr="001D11CA">
        <w:rPr>
          <w:rFonts w:ascii="Segoe UI" w:eastAsia="Times New Roman" w:hAnsi="Segoe UI" w:cs="Segoe UI"/>
          <w:i/>
          <w:iCs/>
          <w:color w:val="000000"/>
          <w:sz w:val="18"/>
          <w:szCs w:val="18"/>
          <w:u w:val="single"/>
          <w:lang w:eastAsia="es-CO"/>
        </w:rPr>
        <w:t>no serán objeto del impuesto sobre la renta y complementarios, sino hasta el momento en que, de acuerdo con la técnica contable deban ser presentados en el estado de resultados, o se reclasifique en el otro resultado integral contra un elemento del patrimonio</w:t>
      </w:r>
      <w:r w:rsidRPr="001D11CA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, generando una pérdida para fines fiscales producto de la enajenación, liquidación o baja en cuentas del activo o pasivo cuando a ello haya lugar.”</w:t>
      </w:r>
    </w:p>
    <w:p w:rsidR="001D11CA" w:rsidRPr="001D11CA" w:rsidRDefault="001D11CA" w:rsidP="001D11CA">
      <w:pPr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1D11CA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1D11CA" w:rsidRPr="001D11CA" w:rsidRDefault="001D11CA" w:rsidP="001D11CA">
      <w:pPr>
        <w:ind w:left="284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1D11CA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4.1. De lo anterior, es posible evidenciar que los costos que de conformidad con los marcos técnicos normativos contables deban ser presentados dentro del otro resultado integral, no serán objeto del impuesto sobre la renta y complementarios.</w:t>
      </w:r>
    </w:p>
    <w:p w:rsidR="001D11CA" w:rsidRPr="001D11CA" w:rsidRDefault="001D11CA" w:rsidP="001D11CA">
      <w:pPr>
        <w:ind w:left="284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1D11CA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1D11CA" w:rsidRPr="001D11CA" w:rsidRDefault="001D11CA" w:rsidP="001D11CA">
      <w:pPr>
        <w:ind w:left="284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1D11CA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4.2. Sin embargo, dichos costos serán reconocidos para efectos del impuesto sobre la renta y complementarios en el momento en que, de acuerdo con la técnica contable, deban ser: i) presentados en el estado de resultados o ii) se reclasifiquen en el otro resultado integral contra un elemento de patrimonio.</w:t>
      </w:r>
    </w:p>
    <w:p w:rsidR="001D11CA" w:rsidRPr="001D11CA" w:rsidRDefault="001D11CA" w:rsidP="001D11CA">
      <w:pPr>
        <w:ind w:left="284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1D11CA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1D11CA" w:rsidRPr="001D11CA" w:rsidRDefault="001D11CA" w:rsidP="001D11CA">
      <w:pPr>
        <w:ind w:left="284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1D11CA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 xml:space="preserve">4.3. Por lo anterior, es claro que el tratamiento aplicable a la realización de los costos relacionados con los activos o instrumentos financieros medidos a valor razonable con cambios en el otro resultado </w:t>
      </w:r>
      <w:proofErr w:type="gramStart"/>
      <w:r w:rsidRPr="001D11CA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integral,</w:t>
      </w:r>
      <w:proofErr w:type="gramEnd"/>
      <w:r w:rsidRPr="001D11CA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 xml:space="preserve"> será el señalado en el literal g) del numeral 1 del artículo 54 (sic) del E.T., tal como se mencionó en el numeral anterior.</w:t>
      </w:r>
    </w:p>
    <w:p w:rsidR="001D11CA" w:rsidRPr="001D11CA" w:rsidRDefault="001D11CA" w:rsidP="001D11CA">
      <w:pPr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1D11CA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1D11CA" w:rsidRPr="001D11CA" w:rsidRDefault="001D11CA" w:rsidP="001D11CA">
      <w:pPr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1D11CA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5. Respecto al tratamiento aplicable a las deducciones o gastos es preciso señalar que el literal f) del numeral 1 del </w:t>
      </w:r>
      <w:hyperlink r:id="rId20" w:tooltip="Estatuto Tributario CETA" w:history="1">
        <w:r w:rsidRPr="001D11CA">
          <w:rPr>
            <w:rFonts w:ascii="Segoe UI" w:eastAsia="Times New Roman" w:hAnsi="Segoe UI" w:cs="Segoe UI"/>
            <w:color w:val="0089E1"/>
            <w:sz w:val="18"/>
            <w:szCs w:val="18"/>
            <w:lang w:eastAsia="es-CO"/>
          </w:rPr>
          <w:t>artículo 105</w:t>
        </w:r>
      </w:hyperlink>
      <w:r w:rsidRPr="001D11CA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del E.T. establece que:</w:t>
      </w:r>
    </w:p>
    <w:p w:rsidR="001D11CA" w:rsidRPr="001D11CA" w:rsidRDefault="001D11CA" w:rsidP="001D11CA">
      <w:pPr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1D11CA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1D11CA" w:rsidRPr="001D11CA" w:rsidRDefault="001D11CA" w:rsidP="001D11CA">
      <w:pPr>
        <w:ind w:left="284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1D11CA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“f. Las deducciones que de conformidad con los marcos técnicos normativos contables deban ser presentados dentro del otro resultado integral, </w:t>
      </w:r>
      <w:r w:rsidRPr="001D11CA">
        <w:rPr>
          <w:rFonts w:ascii="Segoe UI" w:eastAsia="Times New Roman" w:hAnsi="Segoe UI" w:cs="Segoe UI"/>
          <w:i/>
          <w:iCs/>
          <w:color w:val="000000"/>
          <w:sz w:val="18"/>
          <w:szCs w:val="18"/>
          <w:u w:val="single"/>
          <w:lang w:eastAsia="es-CO"/>
        </w:rPr>
        <w:t>no serán objeto del impuesto sobre la renta y complementarios, sino hasta el momento en que, de acuerdo con la técnica contable, deban ser presentados en el estado de resultados, o se reclasifique en el otro resultado integral contra un elemento del patrimonio</w:t>
      </w:r>
      <w:r w:rsidRPr="001D11CA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, generando una pérdida para fines fiscales producto de la enajenación, liquidación o baja en cuentas del activo o pasivo cuando a ello haya lugar.”</w:t>
      </w:r>
    </w:p>
    <w:p w:rsidR="001D11CA" w:rsidRPr="001D11CA" w:rsidRDefault="001D11CA" w:rsidP="001D11CA">
      <w:pPr>
        <w:ind w:left="284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1D11CA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1D11CA" w:rsidRPr="001D11CA" w:rsidRDefault="001D11CA" w:rsidP="001D11CA">
      <w:pPr>
        <w:ind w:left="284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1D11CA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5.1. De lo anterior, es posible evidenciar que los gastos o deducciones que de conformidad con los marcos técnicos normativos contables deban ser presentados dentro del otro resultado integral, no serán objeto del impuesto sobre la renta y complementarios.</w:t>
      </w:r>
    </w:p>
    <w:p w:rsidR="001D11CA" w:rsidRPr="001D11CA" w:rsidRDefault="001D11CA" w:rsidP="001D11CA">
      <w:pPr>
        <w:ind w:left="284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1D11CA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1D11CA" w:rsidRPr="001D11CA" w:rsidRDefault="001D11CA" w:rsidP="001D11CA">
      <w:pPr>
        <w:ind w:left="284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1D11CA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5.2. Sin embargo, dichos gastos o deducciones serán reconocidos para efectos del impuesto sobre la renta y complementarios en el momento en que, de acuerdo con la técnica contable, deban ser: i) presentados en el estado de resultados o ii) se reclasifiquen en el otro resultado integral contra un elemento de patrimonio.</w:t>
      </w:r>
    </w:p>
    <w:p w:rsidR="001D11CA" w:rsidRPr="001D11CA" w:rsidRDefault="001D11CA" w:rsidP="001D11CA">
      <w:pPr>
        <w:ind w:left="284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1D11CA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1D11CA" w:rsidRPr="001D11CA" w:rsidRDefault="001D11CA" w:rsidP="001D11CA">
      <w:pPr>
        <w:ind w:left="284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1D11CA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5.3. Por lo anterior, es claro que el tratamiento aplicable a la realización de los costos relacionados con los activos o instrumentos financieros medidos a valor razonable con cambios en el otro resultado integral, será el señalado en el literal f) del numeral 1 del </w:t>
      </w:r>
      <w:hyperlink r:id="rId21" w:tooltip="Estatuto Tributario CETA" w:history="1">
        <w:r w:rsidRPr="001D11CA">
          <w:rPr>
            <w:rFonts w:ascii="Segoe UI" w:eastAsia="Times New Roman" w:hAnsi="Segoe UI" w:cs="Segoe UI"/>
            <w:color w:val="0089E1"/>
            <w:sz w:val="18"/>
            <w:szCs w:val="18"/>
            <w:lang w:eastAsia="es-CO"/>
          </w:rPr>
          <w:t>artículo 105</w:t>
        </w:r>
      </w:hyperlink>
      <w:r w:rsidRPr="001D11CA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del E.T., tal como se mencionó en el numeral anterior.</w:t>
      </w:r>
    </w:p>
    <w:p w:rsidR="001D11CA" w:rsidRPr="001D11CA" w:rsidRDefault="001D11CA" w:rsidP="001D11CA">
      <w:pPr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1D11CA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1D11CA" w:rsidRPr="001D11CA" w:rsidRDefault="001D11CA" w:rsidP="001D11CA">
      <w:pPr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1D11CA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En los anteriores términos se resuelve su consulta, y cordialmente le informamos que tanto la normatividad en materia tributaria, aduanera y cambiaria, como los conceptos emitidos por la Dirección de Gestión Jurídica en estas materias pueden consultarse directamente en nuestra base de datos jurídica ingresando a la página electrónica de la DIAN: </w:t>
      </w:r>
      <w:hyperlink r:id="rId22" w:history="1">
        <w:r w:rsidRPr="001D11CA">
          <w:rPr>
            <w:rFonts w:ascii="Segoe UI" w:eastAsia="Times New Roman" w:hAnsi="Segoe UI" w:cs="Segoe UI"/>
            <w:color w:val="0563C1"/>
            <w:sz w:val="18"/>
            <w:szCs w:val="18"/>
            <w:lang w:eastAsia="es-CO"/>
          </w:rPr>
          <w:t>https://www.dian.gov.co</w:t>
        </w:r>
      </w:hyperlink>
      <w:r w:rsidRPr="001D11CA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siguiendo íconos “Normatividad”-“Técnica” y seleccionando los vínculos “Doctrina” y “Dirección de Gestión Jurídica”.</w:t>
      </w:r>
    </w:p>
    <w:p w:rsidR="001D11CA" w:rsidRPr="001D11CA" w:rsidRDefault="001D11CA" w:rsidP="001D11CA">
      <w:pPr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1D11CA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1D11CA" w:rsidRPr="001D11CA" w:rsidRDefault="001D11CA" w:rsidP="001D11CA">
      <w:pPr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1D11CA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Atentamente,</w:t>
      </w:r>
    </w:p>
    <w:p w:rsidR="001D11CA" w:rsidRPr="001D11CA" w:rsidRDefault="001D11CA" w:rsidP="001D11CA">
      <w:pPr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1D11CA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1D11CA" w:rsidRPr="001D11CA" w:rsidRDefault="001D11CA" w:rsidP="001D11CA">
      <w:pPr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1D11CA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1D11CA" w:rsidRPr="001D11CA" w:rsidRDefault="001D11CA" w:rsidP="001D11CA">
      <w:pPr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1D11CA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es-CO"/>
        </w:rPr>
        <w:t xml:space="preserve">LORENZO CASTILLO </w:t>
      </w:r>
      <w:proofErr w:type="spellStart"/>
      <w:r w:rsidRPr="001D11CA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es-CO"/>
        </w:rPr>
        <w:t>BARVO</w:t>
      </w:r>
      <w:proofErr w:type="spellEnd"/>
    </w:p>
    <w:p w:rsidR="001D11CA" w:rsidRPr="001D11CA" w:rsidRDefault="001D11CA" w:rsidP="001D11CA">
      <w:pPr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1D11CA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Subdirector de Gestión Normativa y Doctrina (E)</w:t>
      </w:r>
    </w:p>
    <w:p w:rsidR="001D11CA" w:rsidRPr="001D11CA" w:rsidRDefault="001D11CA" w:rsidP="001D11CA">
      <w:pPr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1D11CA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lastRenderedPageBreak/>
        <w:t>Dirección de Gestión Jurídica</w:t>
      </w:r>
    </w:p>
    <w:p w:rsidR="001D11CA" w:rsidRPr="001D11CA" w:rsidRDefault="001D11CA" w:rsidP="001D11CA">
      <w:pPr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proofErr w:type="spellStart"/>
      <w:r w:rsidRPr="001D11CA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UAE</w:t>
      </w:r>
      <w:proofErr w:type="spellEnd"/>
      <w:r w:rsidRPr="001D11CA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- Dirección de Impuestos y Aduanas Nacionales</w:t>
      </w:r>
    </w:p>
    <w:p w:rsidR="00E575A2" w:rsidRDefault="00E575A2"/>
    <w:sectPr w:rsidR="00E575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81686"/>
    <w:multiLevelType w:val="multilevel"/>
    <w:tmpl w:val="B5C281AA"/>
    <w:lvl w:ilvl="0">
      <w:start w:val="1"/>
      <w:numFmt w:val="upperRoman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071"/>
        </w:tabs>
        <w:ind w:left="1071" w:hanging="84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12"/>
        </w:tabs>
        <w:ind w:left="1212" w:hanging="9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70"/>
        </w:tabs>
        <w:ind w:left="167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14"/>
        </w:tabs>
        <w:ind w:left="181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58"/>
        </w:tabs>
        <w:ind w:left="195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02"/>
        </w:tabs>
        <w:ind w:left="2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46"/>
        </w:tabs>
        <w:ind w:left="2246" w:hanging="158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1CA"/>
    <w:rsid w:val="00032B8C"/>
    <w:rsid w:val="0005100D"/>
    <w:rsid w:val="00054B30"/>
    <w:rsid w:val="0008165D"/>
    <w:rsid w:val="00144A96"/>
    <w:rsid w:val="00154C6E"/>
    <w:rsid w:val="001D11CA"/>
    <w:rsid w:val="00207C55"/>
    <w:rsid w:val="00240A17"/>
    <w:rsid w:val="003337F4"/>
    <w:rsid w:val="00382101"/>
    <w:rsid w:val="003F37C3"/>
    <w:rsid w:val="00432C53"/>
    <w:rsid w:val="007808E5"/>
    <w:rsid w:val="00C44B09"/>
    <w:rsid w:val="00DB3416"/>
    <w:rsid w:val="00E575A2"/>
    <w:rsid w:val="00F3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F6403C7-FCE8-40C8-8125-6BF20900A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808E5"/>
    <w:pPr>
      <w:spacing w:after="0" w:line="240" w:lineRule="auto"/>
      <w:jc w:val="both"/>
    </w:pPr>
    <w:rPr>
      <w:rFonts w:cs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240A17"/>
    <w:pPr>
      <w:keepNext/>
      <w:numPr>
        <w:numId w:val="1"/>
      </w:numPr>
      <w:spacing w:before="480" w:after="180"/>
      <w:outlineLvl w:val="0"/>
    </w:pPr>
    <w:rPr>
      <w:rFonts w:ascii="Arial" w:hAnsi="Arial" w:cs="Arial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240A17"/>
    <w:pPr>
      <w:keepNext/>
      <w:numPr>
        <w:ilvl w:val="1"/>
        <w:numId w:val="2"/>
      </w:numPr>
      <w:spacing w:before="360" w:after="180"/>
      <w:outlineLvl w:val="1"/>
    </w:pPr>
    <w:rPr>
      <w:rFonts w:cs="Arial"/>
      <w:b/>
      <w:bCs/>
      <w:iCs/>
      <w:sz w:val="22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">
    <w:name w:val="Quote"/>
    <w:basedOn w:val="Normal"/>
    <w:next w:val="Normal"/>
    <w:link w:val="CitaCar"/>
    <w:uiPriority w:val="29"/>
    <w:qFormat/>
    <w:rsid w:val="00F349D0"/>
    <w:pPr>
      <w:ind w:left="1418"/>
    </w:pPr>
    <w:rPr>
      <w:iCs/>
      <w:sz w:val="18"/>
    </w:rPr>
  </w:style>
  <w:style w:type="character" w:customStyle="1" w:styleId="CitaCar">
    <w:name w:val="Cita Car"/>
    <w:basedOn w:val="Fuentedeprrafopredeter"/>
    <w:link w:val="Cita"/>
    <w:uiPriority w:val="29"/>
    <w:rsid w:val="00F349D0"/>
    <w:rPr>
      <w:rFonts w:ascii="Verdana" w:hAnsi="Verdana"/>
      <w:iCs/>
      <w:sz w:val="18"/>
    </w:rPr>
  </w:style>
  <w:style w:type="character" w:customStyle="1" w:styleId="Ttulo2Car">
    <w:name w:val="Título 2 Car"/>
    <w:link w:val="Ttulo2"/>
    <w:rsid w:val="00240A17"/>
    <w:rPr>
      <w:rFonts w:ascii="Verdana" w:hAnsi="Verdana" w:cs="Arial"/>
      <w:b/>
      <w:bCs/>
      <w:iCs/>
      <w:szCs w:val="28"/>
    </w:rPr>
  </w:style>
  <w:style w:type="character" w:customStyle="1" w:styleId="Ttulo1Car">
    <w:name w:val="Título 1 Car"/>
    <w:link w:val="Ttulo1"/>
    <w:rsid w:val="00240A17"/>
    <w:rPr>
      <w:rFonts w:ascii="Arial" w:hAnsi="Arial" w:cs="Arial"/>
      <w:b/>
      <w:bCs/>
      <w:kern w:val="32"/>
      <w:sz w:val="24"/>
      <w:szCs w:val="32"/>
    </w:rPr>
  </w:style>
  <w:style w:type="paragraph" w:styleId="Piedepgina">
    <w:name w:val="footer"/>
    <w:basedOn w:val="Normal"/>
    <w:link w:val="PiedepginaCar"/>
    <w:uiPriority w:val="99"/>
    <w:unhideWhenUsed/>
    <w:rsid w:val="00C44B09"/>
    <w:pPr>
      <w:tabs>
        <w:tab w:val="center" w:pos="4419"/>
        <w:tab w:val="right" w:pos="8838"/>
      </w:tabs>
    </w:pPr>
    <w:rPr>
      <w:sz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44B09"/>
    <w:rPr>
      <w:rFonts w:ascii="Verdana" w:hAnsi="Verdana"/>
      <w:sz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82101"/>
    <w:rPr>
      <w:sz w:val="16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82101"/>
    <w:rPr>
      <w:rFonts w:ascii="Verdana" w:hAnsi="Verdana" w:cs="Times New Roman"/>
      <w:sz w:val="16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1D1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ta.org.co/html/vista_de_un_articulo.asp?Norma=64" TargetMode="External"/><Relationship Id="rId13" Type="http://schemas.openxmlformats.org/officeDocument/2006/relationships/hyperlink" Target="https://www.ceta.org.co/html/vista_de_un_articulo.asp?Norma=100" TargetMode="External"/><Relationship Id="rId18" Type="http://schemas.openxmlformats.org/officeDocument/2006/relationships/hyperlink" Target="https://www.ceta.org.co/html/vista_de_un_articulo.asp?Norma=5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eta.org.co/html/vista_de_un_articulo.asp?Norma=153" TargetMode="External"/><Relationship Id="rId7" Type="http://schemas.openxmlformats.org/officeDocument/2006/relationships/hyperlink" Target="https://www.ceta.org.co/html/vista_de_un_articulo.asp?Norma=153" TargetMode="External"/><Relationship Id="rId12" Type="http://schemas.openxmlformats.org/officeDocument/2006/relationships/hyperlink" Target="https://www.ceta.org.co/html/vista_de_un_articulo.asp?Norma=58" TargetMode="External"/><Relationship Id="rId17" Type="http://schemas.openxmlformats.org/officeDocument/2006/relationships/hyperlink" Target="https://www.ceta.org.co/html/vista_de_un_articulo.asp?Norma=5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eta.org.co/html/vista_de_un_articulo.asp?Norma=42470" TargetMode="External"/><Relationship Id="rId20" Type="http://schemas.openxmlformats.org/officeDocument/2006/relationships/hyperlink" Target="https://www.ceta.org.co/html/vista_de_un_articulo.asp?Norma=15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eta.org.co/html/vista_de_un_articulo.asp?Norma=58" TargetMode="External"/><Relationship Id="rId11" Type="http://schemas.openxmlformats.org/officeDocument/2006/relationships/hyperlink" Target="https://www.ceta.org.co/html/vista_de_un_articulo.asp?Norma=42472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ceta.org.co/html/vista_de_un_articulo.asp?Norma=42470" TargetMode="External"/><Relationship Id="rId15" Type="http://schemas.openxmlformats.org/officeDocument/2006/relationships/hyperlink" Target="https://www.ceta.org.co/html/vista_de_un_articulo.asp?Norma=4247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ceta.org.co/html/vista_de_un_articulo.asp?Norma=42472" TargetMode="External"/><Relationship Id="rId19" Type="http://schemas.openxmlformats.org/officeDocument/2006/relationships/hyperlink" Target="https://www.ceta.org.co/html/vista_de_un_articulo.asp?Norma=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eta.org.co/html/vista_de_un_articulo.asp?Norma=64" TargetMode="External"/><Relationship Id="rId14" Type="http://schemas.openxmlformats.org/officeDocument/2006/relationships/hyperlink" Target="https://www.ceta.org.co/html/vista_de_un_articulo.asp?Norma=153" TargetMode="External"/><Relationship Id="rId22" Type="http://schemas.openxmlformats.org/officeDocument/2006/relationships/hyperlink" Target="https://www.dian.gov.co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2294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</dc:creator>
  <cp:keywords/>
  <dc:description/>
  <cp:lastModifiedBy>Alejandro</cp:lastModifiedBy>
  <cp:revision>1</cp:revision>
  <dcterms:created xsi:type="dcterms:W3CDTF">2020-03-07T01:59:00Z</dcterms:created>
  <dcterms:modified xsi:type="dcterms:W3CDTF">2020-03-07T02:01:00Z</dcterms:modified>
</cp:coreProperties>
</file>