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218" w:rsidRPr="00894218" w:rsidRDefault="00894218" w:rsidP="00894218">
      <w:pPr>
        <w:pStyle w:val="yiv2821699888msonormal"/>
        <w:shd w:val="clear" w:color="auto" w:fill="FFFFFF"/>
        <w:rPr>
          <w:b/>
          <w:color w:val="1D2228"/>
        </w:rPr>
      </w:pPr>
      <w:bookmarkStart w:id="0" w:name="_GoBack"/>
      <w:r w:rsidRPr="00894218">
        <w:rPr>
          <w:b/>
          <w:color w:val="1D2228"/>
        </w:rPr>
        <w:t>DIAN publica Marzo 26 2020 </w:t>
      </w:r>
    </w:p>
    <w:bookmarkEnd w:id="0"/>
    <w:p w:rsidR="00894218" w:rsidRDefault="00894218" w:rsidP="00894218">
      <w:pPr>
        <w:pStyle w:val="yiv2821699888msonormal"/>
        <w:shd w:val="clear" w:color="auto" w:fill="FFFFFF"/>
        <w:rPr>
          <w:color w:val="1D2228"/>
        </w:rPr>
      </w:pPr>
      <w:r>
        <w:rPr>
          <w:color w:val="1D2228"/>
        </w:rPr>
        <w:t>A PROPOSITO DE LA EXTENSION DEL PLAZO PARA CONTINUAR</w:t>
      </w:r>
    </w:p>
    <w:p w:rsidR="00894218" w:rsidRDefault="00894218" w:rsidP="00894218">
      <w:pPr>
        <w:pStyle w:val="yiv2821699888msonormal"/>
        <w:shd w:val="clear" w:color="auto" w:fill="FFFFFF"/>
        <w:rPr>
          <w:color w:val="1D2228"/>
        </w:rPr>
      </w:pPr>
      <w:r>
        <w:rPr>
          <w:color w:val="1D2228"/>
        </w:rPr>
        <w:t>EN EL REGIMEN TRIBUTARIO ESPECIAL HASTA JUNIO 30 2020</w:t>
      </w:r>
    </w:p>
    <w:p w:rsidR="00894218" w:rsidRDefault="00894218" w:rsidP="00894218">
      <w:pPr>
        <w:pStyle w:val="yiv2821699888msonormal"/>
        <w:shd w:val="clear" w:color="auto" w:fill="FFFFFF"/>
        <w:rPr>
          <w:color w:val="1D2228"/>
        </w:rPr>
      </w:pPr>
      <w:r>
        <w:rPr>
          <w:b/>
          <w:bCs/>
          <w:color w:val="1D2228"/>
          <w:shd w:val="clear" w:color="auto" w:fill="FFFF00"/>
        </w:rPr>
        <w:t>Tengan en cuenta que:</w:t>
      </w:r>
    </w:p>
    <w:p w:rsidR="00894218" w:rsidRDefault="00894218" w:rsidP="00894218">
      <w:pPr>
        <w:pStyle w:val="yiv2821699888msonormal"/>
        <w:shd w:val="clear" w:color="auto" w:fill="FFFFFF"/>
        <w:rPr>
          <w:color w:val="1D2228"/>
        </w:rPr>
      </w:pPr>
      <w:r>
        <w:rPr>
          <w:i/>
          <w:iCs/>
          <w:color w:val="1D2228"/>
        </w:rPr>
        <w:t>En cumplimiento de la decisión tomada por la Corte Constitucional - </w:t>
      </w:r>
      <w:r>
        <w:rPr>
          <w:i/>
          <w:iCs/>
          <w:color w:val="1D2228"/>
          <w:shd w:val="clear" w:color="auto" w:fill="00FF00"/>
        </w:rPr>
        <w:t>Sentencia C-022/20 del 29 de enero de 2020, el</w:t>
      </w:r>
      <w:r>
        <w:rPr>
          <w:i/>
          <w:iCs/>
          <w:color w:val="1D2228"/>
        </w:rPr>
        <w:t> prevalidador formato 2532 – Información de Donaciones, permite dejar como </w:t>
      </w:r>
      <w:r>
        <w:rPr>
          <w:b/>
          <w:bCs/>
          <w:color w:val="1D2228"/>
        </w:rPr>
        <w:t>anónima</w:t>
      </w:r>
      <w:r>
        <w:rPr>
          <w:i/>
          <w:iCs/>
          <w:color w:val="1D2228"/>
        </w:rPr>
        <w:t> la información relacionada con la identificación y el nombre de los donantes</w:t>
      </w:r>
      <w:r>
        <w:rPr>
          <w:color w:val="1D2228"/>
        </w:rPr>
        <w:t>.</w:t>
      </w:r>
    </w:p>
    <w:p w:rsidR="00894218" w:rsidRDefault="00894218" w:rsidP="00894218">
      <w:pPr>
        <w:pStyle w:val="yiv2821699888msonormal"/>
        <w:shd w:val="clear" w:color="auto" w:fill="FFFFFF"/>
        <w:rPr>
          <w:color w:val="1D2228"/>
        </w:rPr>
      </w:pPr>
      <w:r>
        <w:rPr>
          <w:b/>
          <w:bCs/>
          <w:color w:val="1D2228"/>
        </w:rPr>
        <w:t>Las Entidades sin Ánimo de Lucro - ESAL </w:t>
      </w:r>
      <w:r>
        <w:rPr>
          <w:color w:val="1D2228"/>
        </w:rPr>
        <w:t>son personas jurídicas legalmente constituidas cuyos aportes, utilidades o excedentes no son reembolsados, ni distribuidos bajo ninguna modalidad, ni directa o indirectamente, ni durante su existencia, ni en el momento de su disolución y liquidación, puesto que persiguen un fin social o comunitario. Los rendimientos o aportes obtenidos en una Entidad Sin Ánimo de Lucro son reinvertidos en el mejoramiento de sus procesos o en actividades que fortalecen la realización de su objeto social.</w:t>
      </w:r>
    </w:p>
    <w:p w:rsidR="00894218" w:rsidRDefault="00894218" w:rsidP="00894218">
      <w:pPr>
        <w:pStyle w:val="yiv2821699888msonormal"/>
        <w:shd w:val="clear" w:color="auto" w:fill="FFFFFF"/>
        <w:rPr>
          <w:color w:val="1D2228"/>
        </w:rPr>
      </w:pPr>
      <w:r>
        <w:rPr>
          <w:color w:val="1D2228"/>
        </w:rPr>
        <w:t>Las ESAL tienen como principal fuente de ingreso los dineros recibidos por parte de personas naturales, jurídicas o entidades públicas en representación del Estado, por medio de las donaciones.</w:t>
      </w:r>
    </w:p>
    <w:p w:rsidR="00894218" w:rsidRDefault="00894218" w:rsidP="00894218">
      <w:pPr>
        <w:pStyle w:val="yiv2821699888msonormal"/>
        <w:shd w:val="clear" w:color="auto" w:fill="FFFFFF"/>
        <w:rPr>
          <w:color w:val="1D2228"/>
        </w:rPr>
      </w:pPr>
      <w:r>
        <w:rPr>
          <w:color w:val="1D2228"/>
        </w:rPr>
        <w:t>Estas podrán solicitar su calificación como contribuyentes del Régimen Tributario Especial, siempre y cuando se encuentren legalmente constituidas y su objeto social corresponda a una o más de las actividades meritorias; busquen contribuir al desarrollo integral de la sociedad o de una comunidad mediante el apoyo a sectores débiles o población vulnerable, tales como: las madres cabeza de familia, los niños, la investigación, la educación, etc.</w:t>
      </w:r>
    </w:p>
    <w:p w:rsidR="00894218" w:rsidRDefault="00894218" w:rsidP="00894218">
      <w:pPr>
        <w:pStyle w:val="yiv2821699888msonormal"/>
        <w:shd w:val="clear" w:color="auto" w:fill="FFFFFF"/>
        <w:rPr>
          <w:color w:val="1D2228"/>
        </w:rPr>
      </w:pPr>
      <w:r>
        <w:rPr>
          <w:b/>
          <w:bCs/>
          <w:color w:val="1D2228"/>
        </w:rPr>
        <w:t>Las Empresas Asociativas sin Ánimo de Lucro – EASAL</w:t>
      </w:r>
      <w:r>
        <w:rPr>
          <w:color w:val="1D2228"/>
        </w:rPr>
        <w:t> son las cooperativas y demás entidades del sector solidario, en las cuales los trabajadores o los usuarios, según el caso, son simultáneamente los aportantes y los gestores de la empresa, creadas con el objeto de producir o distribuir conjunta y eficientemente bienes o servicios para satisfacer las necesidades de sus asociados y de la comunidad en general.</w:t>
      </w:r>
    </w:p>
    <w:p w:rsidR="00894218" w:rsidRDefault="00894218" w:rsidP="00894218">
      <w:pPr>
        <w:pStyle w:val="yiv2821699888msonormal"/>
        <w:shd w:val="clear" w:color="auto" w:fill="FFFFFF"/>
        <w:rPr>
          <w:color w:val="1D2228"/>
        </w:rPr>
      </w:pPr>
      <w:r>
        <w:rPr>
          <w:b/>
          <w:bCs/>
          <w:color w:val="1D2228"/>
        </w:rPr>
        <w:t>Se presume que una empresa asociativa no tiene ánimo de lucro, cuando cumpla los siguientes requisitos:</w:t>
      </w:r>
    </w:p>
    <w:p w:rsidR="00894218" w:rsidRDefault="00894218" w:rsidP="00894218">
      <w:pPr>
        <w:pStyle w:val="yiv2821699888msonormal"/>
        <w:shd w:val="clear" w:color="auto" w:fill="FFFFFF"/>
        <w:rPr>
          <w:color w:val="1D2228"/>
        </w:rPr>
      </w:pPr>
      <w:r>
        <w:rPr>
          <w:b/>
          <w:bCs/>
          <w:color w:val="1D2228"/>
        </w:rPr>
        <w:t>1. </w:t>
      </w:r>
      <w:r>
        <w:rPr>
          <w:color w:val="1D2228"/>
        </w:rPr>
        <w:t>Que establezca la irrepartibilidad de las reservas sociales, y en caso de liquidación, la del remanente patrimonial.</w:t>
      </w:r>
    </w:p>
    <w:p w:rsidR="00894218" w:rsidRDefault="00894218" w:rsidP="00894218">
      <w:pPr>
        <w:pStyle w:val="yiv2821699888msonormal"/>
        <w:shd w:val="clear" w:color="auto" w:fill="FFFFFF"/>
        <w:rPr>
          <w:color w:val="1D2228"/>
        </w:rPr>
      </w:pPr>
      <w:r>
        <w:rPr>
          <w:b/>
          <w:bCs/>
          <w:color w:val="1D2228"/>
        </w:rPr>
        <w:t>2.</w:t>
      </w:r>
      <w:r>
        <w:rPr>
          <w:color w:val="1D2228"/>
        </w:rPr>
        <w:t xml:space="preserve"> Que destine sus excedentes a la prestación de servicios de carácter social, al crecimiento de sus reservas y fondos, y a reintegrar a sus asociados para los mismos en proporción al </w:t>
      </w:r>
      <w:r>
        <w:rPr>
          <w:color w:val="1D2228"/>
        </w:rPr>
        <w:lastRenderedPageBreak/>
        <w:t>uso de los servicios o a la participación en el trabajo de la empresa, sin perjuicio de amortizar los aportes y conservarlos en su valor real. Ley 79 de 1988, y la ley 454 de 1998.</w:t>
      </w:r>
    </w:p>
    <w:p w:rsidR="00894218" w:rsidRDefault="00894218" w:rsidP="00894218">
      <w:pPr>
        <w:pStyle w:val="yiv2821699888msonormal"/>
        <w:shd w:val="clear" w:color="auto" w:fill="FFFFFF"/>
        <w:rPr>
          <w:color w:val="1D2228"/>
        </w:rPr>
      </w:pPr>
      <w:r>
        <w:rPr>
          <w:color w:val="1D2228"/>
        </w:rPr>
        <w:t>Las EASAL pueden presentar solicitud de readmisión para pertenecer al RTE cuando haya sido excluidas de dicho régimen. Adicionalmente, es de propicio aclarar que para este tipo de entidades no deben tener relacionada una actividad meritoria de las establecidas en el artículo 359 del E.T. por cuanto la actividad meritoria corresponde a la descripción del objeto social. </w:t>
      </w:r>
      <w:r>
        <w:rPr>
          <w:b/>
          <w:bCs/>
          <w:color w:val="1D2228"/>
        </w:rPr>
        <w:t> </w:t>
      </w:r>
    </w:p>
    <w:p w:rsidR="00894218" w:rsidRDefault="00894218" w:rsidP="00894218">
      <w:pPr>
        <w:pStyle w:val="yiv2821699888msonormal"/>
        <w:shd w:val="clear" w:color="auto" w:fill="FFFFFF"/>
        <w:rPr>
          <w:color w:val="1D2228"/>
        </w:rPr>
      </w:pPr>
      <w:r>
        <w:rPr>
          <w:b/>
          <w:bCs/>
          <w:color w:val="1D2228"/>
        </w:rPr>
        <w:t>BENEFICIOS POR PERTENECER AL RÉGIMEN TRIBUTARIO ESPECIAL - RTE</w:t>
      </w:r>
    </w:p>
    <w:p w:rsidR="00894218" w:rsidRDefault="00894218" w:rsidP="00894218">
      <w:pPr>
        <w:pStyle w:val="yiv2821699888msonormal"/>
        <w:shd w:val="clear" w:color="auto" w:fill="FFFFFF"/>
        <w:rPr>
          <w:color w:val="1D2228"/>
        </w:rPr>
      </w:pPr>
      <w:r>
        <w:rPr>
          <w:color w:val="1D2228"/>
        </w:rPr>
        <w:t>Las asociaciones, fundaciones, y corporaciones que sean Entidades sin Ánimo de Lucro y que pertenezcan al Régimen Tributario Especial, tienen como principal beneficio una tarifa del 20% del Impuesto de Renta y Complementario sobre el beneficio neto o excedente, y tendrá el carácter de exento, cuando éste se destine directa o indirectamente a programas que desarrollen el objeto social y la actividad meritoria de la entidad, en el año siguiente a aquel en el cual se obtuvo.</w:t>
      </w:r>
    </w:p>
    <w:p w:rsidR="00894218" w:rsidRDefault="00894218" w:rsidP="00894218">
      <w:pPr>
        <w:pStyle w:val="yiv2821699888msonormal"/>
        <w:shd w:val="clear" w:color="auto" w:fill="FFFFFF"/>
        <w:rPr>
          <w:color w:val="1D2228"/>
        </w:rPr>
      </w:pPr>
      <w:hyperlink r:id="rId4" w:tgtFrame="_blank" w:history="1">
        <w:r>
          <w:rPr>
            <w:rStyle w:val="Hipervnculo"/>
            <w:color w:val="954F72"/>
          </w:rPr>
          <w:t>https://www.dian.gov.co/impuestos/sociedades/ESAL/Paginas/default.aspx</w:t>
        </w:r>
      </w:hyperlink>
      <w:r>
        <w:rPr>
          <w:color w:val="1D2228"/>
        </w:rPr>
        <w:t> </w:t>
      </w:r>
    </w:p>
    <w:p w:rsidR="00894218" w:rsidRDefault="00894218" w:rsidP="00894218">
      <w:pPr>
        <w:pStyle w:val="yiv2821699888msonormal"/>
        <w:shd w:val="clear" w:color="auto" w:fill="FFFFFF"/>
        <w:rPr>
          <w:color w:val="1D2228"/>
        </w:rPr>
      </w:pPr>
      <w:r>
        <w:rPr>
          <w:color w:val="1D2228"/>
          <w:shd w:val="clear" w:color="auto" w:fill="00FF00"/>
        </w:rPr>
        <w:t>Consulte La </w:t>
      </w:r>
      <w:r>
        <w:rPr>
          <w:i/>
          <w:iCs/>
          <w:color w:val="1D2228"/>
          <w:shd w:val="clear" w:color="auto" w:fill="00FF00"/>
        </w:rPr>
        <w:t>Sentencia C-022/20 del 29 de enero de 2020 en el siguiente link:</w:t>
      </w:r>
      <w:r>
        <w:rPr>
          <w:i/>
          <w:iCs/>
          <w:color w:val="1F497D"/>
          <w:shd w:val="clear" w:color="auto" w:fill="00FF00"/>
        </w:rPr>
        <w:t> Pagina 6.</w:t>
      </w:r>
    </w:p>
    <w:p w:rsidR="00894218" w:rsidRDefault="00894218" w:rsidP="00894218">
      <w:pPr>
        <w:pStyle w:val="yiv2821699888msonormal"/>
        <w:shd w:val="clear" w:color="auto" w:fill="FFFFFF"/>
        <w:rPr>
          <w:color w:val="1D2228"/>
        </w:rPr>
      </w:pPr>
      <w:hyperlink r:id="rId5" w:tgtFrame="_blank" w:history="1">
        <w:r>
          <w:rPr>
            <w:rStyle w:val="Hipervnculo"/>
            <w:color w:val="954F72"/>
          </w:rPr>
          <w:t>https://www.corteconstitucional.gov.co/comunicados/Comunicado%20No.%2004%20del%2029%20de%20enero%20de%202020.pdf</w:t>
        </w:r>
      </w:hyperlink>
    </w:p>
    <w:p w:rsidR="00894218" w:rsidRDefault="00894218" w:rsidP="00894218">
      <w:pPr>
        <w:pStyle w:val="yiv2821699888msonormal"/>
        <w:shd w:val="clear" w:color="auto" w:fill="FFFFFF"/>
        <w:rPr>
          <w:color w:val="1D2228"/>
        </w:rPr>
      </w:pPr>
      <w:r>
        <w:rPr>
          <w:color w:val="1F497D"/>
        </w:rPr>
        <w:t> </w:t>
      </w:r>
    </w:p>
    <w:p w:rsidR="000934D3" w:rsidRPr="00894218" w:rsidRDefault="000934D3">
      <w:pPr>
        <w:rPr>
          <w:lang w:val="es-CO"/>
        </w:rPr>
      </w:pPr>
    </w:p>
    <w:sectPr w:rsidR="000934D3" w:rsidRPr="00894218"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18"/>
    <w:rsid w:val="000934D3"/>
    <w:rsid w:val="00894218"/>
    <w:rsid w:val="00A34E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81B0B1A"/>
  <w14:defaultImageDpi w14:val="32767"/>
  <w15:chartTrackingRefBased/>
  <w15:docId w15:val="{BB54253F-9D7C-2749-8FB4-044E8DCC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2821699888msonormal">
    <w:name w:val="yiv2821699888msonormal"/>
    <w:basedOn w:val="Normal"/>
    <w:rsid w:val="00894218"/>
    <w:pPr>
      <w:spacing w:before="100" w:beforeAutospacing="1" w:after="100" w:afterAutospacing="1"/>
    </w:pPr>
    <w:rPr>
      <w:rFonts w:ascii="Times New Roman" w:eastAsia="Times New Roman" w:hAnsi="Times New Roman" w:cs="Times New Roman"/>
      <w:lang w:val="es-CO" w:eastAsia="es-ES_tradnl"/>
    </w:rPr>
  </w:style>
  <w:style w:type="character" w:styleId="Hipervnculo">
    <w:name w:val="Hyperlink"/>
    <w:basedOn w:val="Fuentedeprrafopredeter"/>
    <w:uiPriority w:val="99"/>
    <w:semiHidden/>
    <w:unhideWhenUsed/>
    <w:rsid w:val="00894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rteconstitucional.gov.co/comunicados/Comunicado%20No.%2004%20del%2029%20de%20enero%20de%202020.pdf" TargetMode="External"/><Relationship Id="rId4" Type="http://schemas.openxmlformats.org/officeDocument/2006/relationships/hyperlink" Target="https://www.dian.gov.co/impuestos/sociedades/ESAL/Paginas/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3414</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2020-03-27T16:41:00Z</dcterms:created>
  <dcterms:modified xsi:type="dcterms:W3CDTF">2020-03-27T16:43:00Z</dcterms:modified>
</cp:coreProperties>
</file>