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33" w:rsidRPr="00CC7933" w:rsidRDefault="00CC7933" w:rsidP="00CC7933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CONCEPTO </w:t>
      </w:r>
      <w:proofErr w:type="spellStart"/>
      <w:r w:rsidRPr="00CC793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CC793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100208221-599</w:t>
      </w:r>
    </w:p>
    <w:p w:rsidR="00CC7933" w:rsidRPr="00CC7933" w:rsidRDefault="00CC7933" w:rsidP="00CC7933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22-05-2020</w:t>
      </w:r>
    </w:p>
    <w:p w:rsidR="00CC7933" w:rsidRPr="00CC7933" w:rsidRDefault="00CC7933" w:rsidP="00CC7933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2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2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100208221 - 599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Bogotá, D. C., 22-05-2020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Señores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2"/>
          <w:lang w:eastAsia="es-CO"/>
        </w:rPr>
        <w:t>CONTRIBUYENTES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2"/>
          <w:lang w:eastAsia="es-CO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5593"/>
      </w:tblGrid>
      <w:tr w:rsidR="00CC7933" w:rsidRPr="00CC7933" w:rsidTr="00CC7933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b/>
                <w:bCs/>
                <w:color w:val="211D1E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color w:val="211D1E"/>
                <w:szCs w:val="24"/>
                <w:lang w:eastAsia="es-CO"/>
              </w:rPr>
              <w:t>Impuesto sobre la renta y complementarios</w:t>
            </w:r>
          </w:p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color w:val="211D1E"/>
                <w:szCs w:val="24"/>
                <w:lang w:eastAsia="es-CO"/>
              </w:rPr>
              <w:t>Impuesto sobre las ventas</w:t>
            </w:r>
          </w:p>
        </w:tc>
      </w:tr>
      <w:tr w:rsidR="00CC7933" w:rsidRPr="00CC7933" w:rsidTr="00CC7933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b/>
                <w:bCs/>
                <w:color w:val="211D1E"/>
                <w:szCs w:val="24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color w:val="211D1E"/>
                <w:szCs w:val="24"/>
                <w:lang w:eastAsia="es-CO"/>
              </w:rPr>
              <w:t>Aspectos tributarios en los procesos de insolvencia</w:t>
            </w:r>
          </w:p>
        </w:tc>
      </w:tr>
      <w:tr w:rsidR="00CC7933" w:rsidRPr="00CC7933" w:rsidTr="00CC7933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b/>
                <w:bCs/>
                <w:color w:val="211D1E"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33" w:rsidRPr="00CC7933" w:rsidRDefault="00CC7933" w:rsidP="00CC79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CC7933">
              <w:rPr>
                <w:rFonts w:ascii="Segoe UI" w:eastAsia="Times New Roman" w:hAnsi="Segoe UI" w:cs="Segoe UI"/>
                <w:color w:val="211D1E"/>
                <w:szCs w:val="24"/>
                <w:lang w:eastAsia="es-CO"/>
              </w:rPr>
              <w:t>Decreto Legislativo 560 de 2020</w:t>
            </w:r>
          </w:p>
        </w:tc>
      </w:tr>
    </w:tbl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De conformidad con el artículo 20 del Decreto 4048 de 2008, este Despacho está facultado para determinar y mantener la unidad doctrinal en la interpretación de normas tributarias, en materia aduanera y de control cambiario en lo de competencia de la DIAN.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En este sentido, este Despacho considera necesario pronunciarse respecto a la aplicación del Decreto Legislativo 560 de 2020, así: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I. Estímulos a la financiación del deudor durante la negociación de un acuerdo de reorganización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A. El artículo 5° del Decreto Legislativo 560 de 2020 establece, en su parágrafo 3°, que “</w:t>
      </w:r>
      <w:r w:rsidRPr="00CC7933">
        <w:rPr>
          <w:rFonts w:ascii="Segoe UI" w:eastAsia="Times New Roman" w:hAnsi="Segoe UI" w:cs="Segoe UI"/>
          <w:i/>
          <w:iCs/>
          <w:color w:val="211D1E"/>
          <w:sz w:val="28"/>
          <w:szCs w:val="28"/>
          <w:lang w:eastAsia="es-CO"/>
        </w:rPr>
        <w:t>a efectos de preservar la empresa y el empleo, la Dirección de Impuestos y Aduanas Nacionales (DIAN) y las entidades del Estado podrán hacer rebajas de sanciones, intereses y capital”.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lastRenderedPageBreak/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B. En el caso de la DIAN, se podrán disminuir sanciones e intereses, de conformidad con las disposiciones legales vigentes. Por lo tanto, y en virtud de la Constitución y la jurisprudencia de la Corte Constitucional, no existe la posibilidad que la Entidad condone, total o parcialmente, impuestos.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II. Retención en la fuente de empresas admitidas a procesos de reorganización o con acuerdos de reorganización en ejecución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A. El artículo 12 del Decreto Legislativo 560 de 2020 establece tratamientos especiales en materia de: (i) retenciones y autorretenciones a título del impuesto sobre la renta, y (ii) anticipo de renta por el año gravable 2020.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B. Por un lado, no están sometidas a retención en la fuente o autorretención en la fuente a título del impuesto sobre la renta las empresas: (i) admitidas a un proceso de reorganización empresarial, o (ii) que hayan celebrado un acuerdo de reorganización y se encuentren ejecutándolo. Ambos escenarios conforme a lo indicado en la Ley 1116 de 2006 y atendiendo a las disposiciones del Decreto Legislativo 560 de 2020.</w:t>
      </w:r>
    </w:p>
    <w:p w:rsidR="00CC7933" w:rsidRPr="00CC7933" w:rsidRDefault="00CC7933" w:rsidP="00CC7933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En consecuencia, este beneficio aplica para todas las retenciones y autorretenciones en la fuente a título del impuesto sobre la renta, y procede a partir de la expedición del Decreto Legislativo 560 de 2020, esto es, a partir del 15 de abril de 2020 y hasta el 31 de diciembre del mismo año.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Lo anterior sin perjuicio del impuesto sobre la renta a cargo de dichas empresas.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lastRenderedPageBreak/>
        <w:t>C. Por otro lado, las empresas señaladas en el literal A arriba se encuentran exoneradas de liquidar y pagar el anticipo de renta de que trata el </w:t>
      </w:r>
      <w:hyperlink r:id="rId4" w:tooltip="Estatuto Tributario CETA" w:history="1">
        <w:r w:rsidRPr="00CC7933">
          <w:rPr>
            <w:rFonts w:ascii="Segoe UI" w:eastAsia="Times New Roman" w:hAnsi="Segoe UI" w:cs="Segoe UI"/>
            <w:color w:val="0089E1"/>
            <w:sz w:val="28"/>
            <w:szCs w:val="28"/>
            <w:lang w:eastAsia="es-CO"/>
          </w:rPr>
          <w:t>artículo 807</w:t>
        </w:r>
      </w:hyperlink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del Estatuto Tributario por el año gravable 2020.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III. Retención en la fuente a título de impuesto sobre las ventas de empresas admitidas a procesos de reorganización o con acuerdos de reorganización en curso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A. El artículo 13 del Decreto Legislativo 560 de 2020 establece una retención en la fuente especial a título del impuesto sobre las ventas cuando se adquieran bienes o servicios de empresas: (i) admitidas a un proceso de reorganización empresarial o (ii) que hayan celebrado un acuerdo de reorganización y se encuentren ejecutándolo. Ambos escenarios conforme a lo indicado en la Ley 1116 de 2006 y atendiendo a las disposiciones del Decreto Legislativo 560 de 2020.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 xml:space="preserve">En estos casos, la tarifa de retención en la fuente es del 50% del valor del impuesto sobre las ventas al momento del pago o abono en cuenta, y </w:t>
      </w:r>
      <w:r w:rsidRPr="00CC7933">
        <w:rPr>
          <w:rFonts w:ascii="Segoe UI" w:eastAsia="Times New Roman" w:hAnsi="Segoe UI" w:cs="Segoe UI"/>
          <w:color w:val="211D1E"/>
          <w:sz w:val="28"/>
          <w:szCs w:val="28"/>
          <w:highlight w:val="yellow"/>
          <w:lang w:eastAsia="es-CO"/>
        </w:rPr>
        <w:t>debe ser practicada por aquellos agentes de retención en el impuesto sobre las ventas</w:t>
      </w:r>
      <w:bookmarkStart w:id="0" w:name="_GoBack"/>
      <w:bookmarkEnd w:id="0"/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. Esta retención en la fuente es aplicable a partir de la expedición del Decreto Legislativo 560 de 2020, esto es, a partir del 15 de abril de 2020 y hasta el 31 de diciembre del mismo año.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Lo anterior sin perjuicio del impuesto sobre las ventas a cargo de dichas empresas.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B. Esta disposición normativa alivia el flujo de caja, tal como se evidencia en el siguiente ejemplo: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noProof/>
          <w:color w:val="211D1E"/>
          <w:sz w:val="28"/>
          <w:szCs w:val="28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BAF64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zEyonuAIAALk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IV. Renta presuntiva de empresas admitidas a procesos de reorganización o con acuerdos de reorganización en ejecución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lastRenderedPageBreak/>
        <w:t> </w:t>
      </w:r>
    </w:p>
    <w:p w:rsidR="00CC7933" w:rsidRPr="00CC7933" w:rsidRDefault="00CC7933" w:rsidP="00CC7933">
      <w:pPr>
        <w:ind w:left="284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A. No se encuentran obligados a liquidar renta presuntiva por el año gravable 2020, los deudores que: (i) hayan sido admitidos a un proceso de reorganización o (ii) que cuenten con un acuerdo de reorganización y se encuentren ejecutándolo. Ambos casos en los términos de la Ley 1116 de 2006 y atendiendo a las disposiciones del Decreto Legislativo 560 de 2020.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En los anteriores términos se resuelven de oficio las inquietudes señaladas y finalmente le manifestamos que la Dirección de Impuestos y Aduanas Nacionales (DIAN), con el fin de facilitar a los contribuyentes, usuarios y público en general el acceso directo a sus pronunciamientos doctrinarios, ha publicado en su página de internet </w:t>
      </w:r>
      <w:hyperlink r:id="rId5" w:history="1">
        <w:r w:rsidRPr="00CC7933">
          <w:rPr>
            <w:rFonts w:ascii="Segoe UI" w:eastAsia="Times New Roman" w:hAnsi="Segoe UI" w:cs="Segoe UI"/>
            <w:color w:val="0563C1"/>
            <w:sz w:val="28"/>
            <w:szCs w:val="28"/>
            <w:lang w:eastAsia="es-CO"/>
          </w:rPr>
          <w:t>www.dian.gov.co</w:t>
        </w:r>
      </w:hyperlink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 xml:space="preserve">, la base de conceptos en materia tributaria, aduanera y cambiaria expedidos desde el año 2001, la cual se puede ingresar por el ícono de “Normatividad”–”técnica”–, dando </w:t>
      </w:r>
      <w:proofErr w:type="spellStart"/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click</w:t>
      </w:r>
      <w:proofErr w:type="spellEnd"/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 xml:space="preserve"> en el link “Doctrina Dirección de Gestión Jurídica”.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Atentamente,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El Subdirector de Gestión Normativa y Doctrina,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i/>
          <w:iCs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jc w:val="right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i/>
          <w:iCs/>
          <w:color w:val="211D1E"/>
          <w:sz w:val="28"/>
          <w:szCs w:val="28"/>
          <w:lang w:eastAsia="es-CO"/>
        </w:rPr>
        <w:t>Pablo Emilio Mendoza Velilla,</w:t>
      </w:r>
    </w:p>
    <w:p w:rsidR="00CC7933" w:rsidRPr="00CC7933" w:rsidRDefault="00CC7933" w:rsidP="00CC7933">
      <w:pPr>
        <w:jc w:val="right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Dirección de Gestión Jurídica.</w:t>
      </w:r>
    </w:p>
    <w:p w:rsidR="00CC7933" w:rsidRPr="00CC7933" w:rsidRDefault="00CC7933" w:rsidP="00CC7933">
      <w:pPr>
        <w:jc w:val="right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proofErr w:type="spellStart"/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UAE</w:t>
      </w:r>
      <w:proofErr w:type="spellEnd"/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-Dirección de Impuestos y Aduanas Nacionales.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 w:val="28"/>
          <w:szCs w:val="28"/>
          <w:lang w:eastAsia="es-CO"/>
        </w:rPr>
        <w:t> </w:t>
      </w:r>
    </w:p>
    <w:p w:rsidR="00CC7933" w:rsidRPr="00CC7933" w:rsidRDefault="00CC7933" w:rsidP="00CC7933">
      <w:pPr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b/>
          <w:bCs/>
          <w:color w:val="211D1E"/>
          <w:szCs w:val="24"/>
          <w:lang w:eastAsia="es-CO"/>
        </w:rPr>
        <w:t xml:space="preserve">Publicado en </w:t>
      </w:r>
      <w:proofErr w:type="spellStart"/>
      <w:r w:rsidRPr="00CC7933">
        <w:rPr>
          <w:rFonts w:ascii="Segoe UI" w:eastAsia="Times New Roman" w:hAnsi="Segoe UI" w:cs="Segoe UI"/>
          <w:b/>
          <w:bCs/>
          <w:color w:val="211D1E"/>
          <w:szCs w:val="24"/>
          <w:lang w:eastAsia="es-CO"/>
        </w:rPr>
        <w:t>D.O</w:t>
      </w:r>
      <w:proofErr w:type="spellEnd"/>
      <w:r w:rsidRPr="00CC7933">
        <w:rPr>
          <w:rFonts w:ascii="Segoe UI" w:eastAsia="Times New Roman" w:hAnsi="Segoe UI" w:cs="Segoe UI"/>
          <w:b/>
          <w:bCs/>
          <w:color w:val="211D1E"/>
          <w:szCs w:val="24"/>
          <w:lang w:eastAsia="es-CO"/>
        </w:rPr>
        <w:t xml:space="preserve">. 51.322 del 22 de </w:t>
      </w:r>
      <w:proofErr w:type="gramStart"/>
      <w:r w:rsidRPr="00CC7933">
        <w:rPr>
          <w:rFonts w:ascii="Segoe UI" w:eastAsia="Times New Roman" w:hAnsi="Segoe UI" w:cs="Segoe UI"/>
          <w:b/>
          <w:bCs/>
          <w:color w:val="211D1E"/>
          <w:szCs w:val="24"/>
          <w:lang w:eastAsia="es-CO"/>
        </w:rPr>
        <w:t>Mayo</w:t>
      </w:r>
      <w:proofErr w:type="gramEnd"/>
      <w:r w:rsidRPr="00CC7933">
        <w:rPr>
          <w:rFonts w:ascii="Segoe UI" w:eastAsia="Times New Roman" w:hAnsi="Segoe UI" w:cs="Segoe UI"/>
          <w:b/>
          <w:bCs/>
          <w:color w:val="211D1E"/>
          <w:szCs w:val="24"/>
          <w:lang w:eastAsia="es-CO"/>
        </w:rPr>
        <w:t xml:space="preserve"> de 2020.</w:t>
      </w:r>
    </w:p>
    <w:p w:rsidR="00CC7933" w:rsidRPr="00CC7933" w:rsidRDefault="00CC7933" w:rsidP="00CC7933">
      <w:pPr>
        <w:spacing w:after="285"/>
        <w:jc w:val="left"/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</w:pPr>
      <w:r w:rsidRPr="00CC7933">
        <w:rPr>
          <w:rFonts w:ascii="Segoe UI" w:eastAsia="Times New Roman" w:hAnsi="Segoe UI" w:cs="Segoe UI"/>
          <w:color w:val="211D1E"/>
          <w:sz w:val="28"/>
          <w:szCs w:val="28"/>
          <w:lang w:eastAsia="es-CO"/>
        </w:rPr>
        <w:t> </w:t>
      </w:r>
    </w:p>
    <w:p w:rsidR="00831194" w:rsidRDefault="00831194"/>
    <w:sectPr w:rsidR="00831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3"/>
    <w:rsid w:val="00831194"/>
    <w:rsid w:val="00B32C5D"/>
    <w:rsid w:val="00CC7933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64CE7A-8F6E-4B59-8E66-CBB5A5A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C5D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pa9">
    <w:name w:val="pa9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pa11">
    <w:name w:val="pa11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pa12">
    <w:name w:val="pa12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pa19">
    <w:name w:val="pa19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C7933"/>
  </w:style>
  <w:style w:type="paragraph" w:customStyle="1" w:styleId="pa28">
    <w:name w:val="pa28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pa6">
    <w:name w:val="pa6"/>
    <w:basedOn w:val="Normal"/>
    <w:rsid w:val="00CC7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n.gov.co/" TargetMode="External"/><Relationship Id="rId4" Type="http://schemas.openxmlformats.org/officeDocument/2006/relationships/hyperlink" Target="https://www.ceta.org.co/html/vista_de_un_articulo.asp?Norma=9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2020-05-29T19:19:00Z</dcterms:created>
  <dcterms:modified xsi:type="dcterms:W3CDTF">2020-05-29T19:27:00Z</dcterms:modified>
</cp:coreProperties>
</file>