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6F" w:rsidRPr="0065336F" w:rsidRDefault="0065336F" w:rsidP="0065336F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5336F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65336F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65336F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1004</w:t>
      </w:r>
    </w:p>
    <w:p w:rsidR="0065336F" w:rsidRPr="0065336F" w:rsidRDefault="0065336F" w:rsidP="0065336F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5336F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20-08-2020</w:t>
      </w:r>
    </w:p>
    <w:p w:rsidR="0065336F" w:rsidRPr="0065336F" w:rsidRDefault="0065336F" w:rsidP="0065336F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65336F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Subdirección de Gestión Normativa y Doctrina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100208221-1004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Bogotá, D.C.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82"/>
        <w:gridCol w:w="282"/>
        <w:gridCol w:w="6111"/>
      </w:tblGrid>
      <w:tr w:rsidR="0065336F" w:rsidRPr="0065336F" w:rsidTr="00653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b/>
                <w:bCs/>
                <w:szCs w:val="24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Factura electrónica de venta</w:t>
            </w:r>
          </w:p>
        </w:tc>
      </w:tr>
      <w:tr w:rsidR="0065336F" w:rsidRPr="0065336F" w:rsidTr="00653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b/>
                <w:bCs/>
                <w:szCs w:val="24"/>
                <w:lang w:eastAsia="es-CO"/>
              </w:rPr>
              <w:t>Descriptores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Obligación de facturar</w:t>
            </w:r>
          </w:p>
        </w:tc>
      </w:tr>
      <w:tr w:rsidR="0065336F" w:rsidRPr="0065336F" w:rsidTr="00653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b/>
                <w:bCs/>
                <w:szCs w:val="24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Artículos </w:t>
            </w:r>
            <w:hyperlink r:id="rId4" w:tooltip="Estatuto Tributario CETA" w:history="1">
              <w:r w:rsidRPr="0065336F">
                <w:rPr>
                  <w:rFonts w:ascii="Segoe UI" w:eastAsia="Times New Roman" w:hAnsi="Segoe UI" w:cs="Segoe UI"/>
                  <w:color w:val="0089E1"/>
                  <w:szCs w:val="24"/>
                  <w:lang w:eastAsia="es-CO"/>
                </w:rPr>
                <w:t>615</w:t>
              </w:r>
            </w:hyperlink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, </w:t>
            </w:r>
            <w:hyperlink r:id="rId5" w:tooltip="Estatuto Tributario CETA" w:history="1">
              <w:r w:rsidRPr="0065336F">
                <w:rPr>
                  <w:rFonts w:ascii="Segoe UI" w:eastAsia="Times New Roman" w:hAnsi="Segoe UI" w:cs="Segoe UI"/>
                  <w:color w:val="0089E1"/>
                  <w:szCs w:val="24"/>
                  <w:lang w:eastAsia="es-CO"/>
                </w:rPr>
                <w:t>616-1</w:t>
              </w:r>
            </w:hyperlink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, </w:t>
            </w:r>
            <w:hyperlink r:id="rId6" w:tooltip="Estatuto Tributario CETA" w:history="1">
              <w:r w:rsidRPr="0065336F">
                <w:rPr>
                  <w:rFonts w:ascii="Segoe UI" w:eastAsia="Times New Roman" w:hAnsi="Segoe UI" w:cs="Segoe UI"/>
                  <w:color w:val="0089E1"/>
                  <w:szCs w:val="24"/>
                  <w:lang w:eastAsia="es-CO"/>
                </w:rPr>
                <w:t>617</w:t>
              </w:r>
            </w:hyperlink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 y </w:t>
            </w:r>
            <w:hyperlink r:id="rId7" w:tooltip="Estatuto Tributario CETA" w:history="1">
              <w:r w:rsidRPr="0065336F">
                <w:rPr>
                  <w:rFonts w:ascii="Segoe UI" w:eastAsia="Times New Roman" w:hAnsi="Segoe UI" w:cs="Segoe UI"/>
                  <w:color w:val="0089E1"/>
                  <w:szCs w:val="24"/>
                  <w:lang w:eastAsia="es-CO"/>
                </w:rPr>
                <w:t>771-2</w:t>
              </w:r>
            </w:hyperlink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 del Estatuto Tributario</w:t>
            </w:r>
          </w:p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Artículos 1.6.1.4.1 y ss. del Decreto 1625 de 2016</w:t>
            </w:r>
          </w:p>
          <w:p w:rsidR="0065336F" w:rsidRPr="0065336F" w:rsidRDefault="0065336F" w:rsidP="006533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szCs w:val="24"/>
                <w:lang w:eastAsia="es-CO"/>
              </w:rPr>
              <w:t>Resolución 000042 de 2020</w:t>
            </w:r>
          </w:p>
        </w:tc>
      </w:tr>
    </w:tbl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Cordial saludo.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Mediante el radicado de la referencia, la peticionaria consulta respecto a la exigibilidad del sistema de facturación electrónica de venta o documento soporte para las operaciones de pagos de nómina.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Sobre el particular, las consideraciones de este Despacho son las siguientes: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El parágrafo 6 del </w:t>
      </w:r>
      <w:hyperlink r:id="rId8" w:tooltip="Estatuto Tributario CETA" w:history="1">
        <w:r w:rsidRPr="0065336F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616-1</w:t>
        </w:r>
      </w:hyperlink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del Estatuto Tributario dispone: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“</w:t>
      </w: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PARÁGRAFO 6. El sistema de facturación electrónica es aplicable a 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las operaciones de compra y venta de bienes y de servicios</w:t>
      </w: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. 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Este sistema también es aplicable </w:t>
      </w: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a otras operaciones tales como los pagos de nómina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, las exportaciones, importaciones y los pagos a favor de no responsables del impuesto sobre las ventas –IVA”.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A su vez, el mismo </w:t>
      </w:r>
      <w:hyperlink r:id="rId9" w:tooltip="Estatuto Tributario CETA" w:history="1">
        <w:r w:rsidRPr="0065336F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616-1 </w:t>
        </w:r>
      </w:hyperlink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del Estatuto Tributario, en los parágrafos transitorios 1 y 2, indica: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lastRenderedPageBreak/>
        <w:t>“PARÁGRAFO TRANSITORIO 1. 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 xml:space="preserve">Los requisitos, condiciones y procedimientos establecidos en el presente artículo, serán reglamentados por el Gobierno nacional; entre tanto aplicarán las disposiciones que regulan la materia antes de la </w:t>
      </w:r>
      <w:proofErr w:type="gramStart"/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entrada en vigencia</w:t>
      </w:r>
      <w:proofErr w:type="gramEnd"/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 xml:space="preserve"> de la presente ley.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Las facturas expedidas de conformidad con los artículos 1.6.1.4.1.1 al 1.6.1.4.1.21. del Decreto 1625 de 2016 mantienen su condición de documentos equivalentes. </w:t>
      </w: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A partir del 1 de enero de 2020, se requerirá factura electrónica para la procedencia de impuestos descontables, y costos o gastos deducibles, de conformidad con la siguiente tabla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: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7098"/>
      </w:tblGrid>
      <w:tr w:rsidR="0065336F" w:rsidRPr="0065336F" w:rsidTr="0065336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ind w:left="284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i/>
                <w:iCs/>
                <w:szCs w:val="24"/>
                <w:lang w:eastAsia="es-CO"/>
              </w:rPr>
              <w:t>Año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ind w:left="284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i/>
                <w:iCs/>
                <w:szCs w:val="24"/>
                <w:lang w:eastAsia="es-CO"/>
              </w:rPr>
              <w:t>Porcentaje máximo que podrá soportarse sin factura electrónica</w:t>
            </w:r>
          </w:p>
        </w:tc>
      </w:tr>
      <w:tr w:rsidR="0065336F" w:rsidRPr="0065336F" w:rsidTr="006533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ind w:left="284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i/>
                <w:iCs/>
                <w:szCs w:val="24"/>
                <w:lang w:eastAsia="es-CO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ind w:left="284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i/>
                <w:iCs/>
                <w:szCs w:val="24"/>
                <w:lang w:eastAsia="es-CO"/>
              </w:rPr>
              <w:t>30%</w:t>
            </w:r>
          </w:p>
        </w:tc>
      </w:tr>
      <w:tr w:rsidR="0065336F" w:rsidRPr="0065336F" w:rsidTr="006533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ind w:left="284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i/>
                <w:iCs/>
                <w:szCs w:val="24"/>
                <w:lang w:eastAsia="es-CO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ind w:left="284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i/>
                <w:iCs/>
                <w:szCs w:val="24"/>
                <w:lang w:eastAsia="es-CO"/>
              </w:rPr>
              <w:t>20%</w:t>
            </w:r>
          </w:p>
        </w:tc>
      </w:tr>
      <w:tr w:rsidR="0065336F" w:rsidRPr="0065336F" w:rsidTr="006533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ind w:left="284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i/>
                <w:iCs/>
                <w:szCs w:val="24"/>
                <w:lang w:eastAsia="es-CO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6F" w:rsidRPr="0065336F" w:rsidRDefault="0065336F" w:rsidP="0065336F">
            <w:pPr>
              <w:ind w:left="284"/>
              <w:rPr>
                <w:rFonts w:ascii="Times New Roman" w:eastAsia="Times New Roman" w:hAnsi="Times New Roman" w:cs="Times New Roman"/>
                <w:sz w:val="32"/>
                <w:szCs w:val="32"/>
                <w:lang w:eastAsia="es-CO"/>
              </w:rPr>
            </w:pPr>
            <w:r w:rsidRPr="0065336F">
              <w:rPr>
                <w:rFonts w:ascii="Segoe UI" w:eastAsia="Times New Roman" w:hAnsi="Segoe UI" w:cs="Segoe UI"/>
                <w:i/>
                <w:iCs/>
                <w:szCs w:val="24"/>
                <w:lang w:eastAsia="es-CO"/>
              </w:rPr>
              <w:t>10%</w:t>
            </w:r>
          </w:p>
        </w:tc>
      </w:tr>
    </w:tbl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PARÁGRAFO TRANSITORIO 2. La Dirección de Impuestos y Aduanas Nacionales - DIAN establecerá 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el calendario y los sujetos obligados a facturar que deben iniciar la implementación de la factura electrónica durante el año 2020, </w:t>
      </w: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así como los requisitos técnicos de la factura electrónica para su aplicación específica en los casos de 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venta de bienes y servicios, </w:t>
      </w: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pago de nómina, 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importaciones y exportaciones, pagos al exterior, operaciones de factoraje, entre otras”.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Por su parte, el artículo 1.6.1.4.27 del Decreto 1625 de 2016 establece que: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</w:t>
      </w: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Artículo 1.6.1.4.27.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Porcentaje máximo que podrá soportarse sin factura electrónica. Para efectos de lo indicado en el parágrafo transitorio 1 del </w:t>
      </w:r>
      <w:hyperlink r:id="rId10" w:tooltip="Estatuto Tributario CETA" w:history="1">
        <w:r w:rsidRPr="0065336F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artículo 616-1</w:t>
        </w:r>
      </w:hyperlink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del Estatuto Tributario respecto del porcentaje máximo que podrá soportarse sin factura electrónica, para la procedencia de impuestos descontables, de costos o gastos deducibles, se tendrán en cuenta: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(…)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El sistema de facturación electrónica es aplicable a 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las operaciones de compra y venta de bienes y de servicios, </w:t>
      </w: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las operaciones de nómina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, las exportaciones, importaciones, los pagos a favor de no responsables del Impuesto sobre las Ventas (IVA).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(… )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Para efectos de lo previsto en el presente artículo la Unidad Administrativa Especial Dirección de Impuestos y Aduanas Nacionales (DIAN), deberá establecer la información y el contenido de los respectivos documentos, así como los términos, condiciones, mecanismos técnicos y tecnológicos que deben cumplir los sujetos obligados a facturar para su elaboración y transmisión a la citada entidad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.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lastRenderedPageBreak/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(…)”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Finalmente, la Resolución 00042 de 2020 dispuso, en el artículo 90, lo siguiente: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“</w:t>
      </w: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Artículo 90. El sistema de facturación electrónica. 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Conforme lo establecido en el parágrafo 6 del </w:t>
      </w:r>
      <w:hyperlink r:id="rId11" w:tooltip="Estatuto Tributario CETA" w:history="1">
        <w:r w:rsidRPr="0065336F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artículo 616-1</w:t>
        </w:r>
      </w:hyperlink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del Estatuto Tributario, el numeral 13 del artículo 1.6.1.4.6. y los incisos 2, 3 y 4 del artículo 1.6.1.4.27. del Decreto 1625 de 2016 Único Reglamentario en Materia Tributaria, </w:t>
      </w: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las operaciones a implementar en el sistema de facturación electrónica corresponden a: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(…)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5. Pagos por rentas de trabajo, incluyendo los aportes parafiscales, de seguridad social y demás erogaciones relacionados con la nómina.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(…)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ind w:left="284"/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Parágrafo. En relación con los conceptos de que tratan los numerales del presente artículo, la Dirección de Gestión de Ingresos o quien haga sus veces, de la Unidad Administrativa Especial Dirección de Impuestos y Aduanas Nacionales -DIAN, ejecutará un plan que permita su implementación </w:t>
      </w:r>
      <w:r w:rsidRPr="0065336F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(…)” </w:t>
      </w: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(Negritas fuera de texto).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Así las cosas, para pagos de nómina, la factura electrónica o documento que se establezca será exigible cuando esta Entidad efectúe su implementación dentro del sistema de facturación electrónica, de acuerdo con lo dispuesto en las normas previamente citadas.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 xml:space="preserve">Entretanto, los </w:t>
      </w:r>
      <w:proofErr w:type="gramStart"/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documentos soportes</w:t>
      </w:r>
      <w:proofErr w:type="gramEnd"/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 xml:space="preserve"> de costos y gastos para pagos de nómina, seguirán siendo aquellos requeridos por la normatividad vigente, los cuales se </w:t>
      </w:r>
      <w:r w:rsidRPr="0065336F">
        <w:rPr>
          <w:rFonts w:ascii="Segoe UI" w:eastAsia="Times New Roman" w:hAnsi="Segoe UI" w:cs="Segoe UI"/>
          <w:color w:val="000000"/>
          <w:sz w:val="22"/>
          <w:highlight w:val="yellow"/>
          <w:lang w:eastAsia="es-CO"/>
        </w:rPr>
        <w:t>someterán</w:t>
      </w: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 xml:space="preserve"> al porcentaje máximo a soportarse sin factura electrónica </w:t>
      </w:r>
      <w:r w:rsidRPr="0065336F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cuando sea implementado el sistema de factura electrónica para pagos por nómina</w:t>
      </w: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.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En los anteriores términos se resuelve su solicitud y finalmente le manifestamos que la Dirección de Impuestos y Aduanas Nacionales -DIAN-, con el fin de facilitar a los contribuyentes, usuarios y público en general el acceso directo a sus pronunciamientos doctrinarios, ha publicado en su página de internet </w:t>
      </w:r>
      <w:hyperlink r:id="rId12" w:history="1">
        <w:r w:rsidRPr="0065336F">
          <w:rPr>
            <w:rFonts w:ascii="Segoe UI" w:eastAsia="Times New Roman" w:hAnsi="Segoe UI" w:cs="Segoe UI"/>
            <w:color w:val="0563C1"/>
            <w:sz w:val="22"/>
            <w:lang w:eastAsia="es-CO"/>
          </w:rPr>
          <w:t>www.dian.gov.co</w:t>
        </w:r>
      </w:hyperlink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, la base de conceptos en materia tributaria, aduanera y cambiari</w:t>
      </w:r>
      <w:bookmarkStart w:id="0" w:name="_GoBack"/>
      <w:bookmarkEnd w:id="0"/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 xml:space="preserve">a expedidos desde el año 2001, la cual se puede ingresar por el ícono de “Normatividad”–“Doctrina”–, dando </w:t>
      </w:r>
      <w:proofErr w:type="spellStart"/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click</w:t>
      </w:r>
      <w:proofErr w:type="spellEnd"/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 xml:space="preserve"> en el link “Doctrina Dirección de Gestión Jurídica”.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Atentamente,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 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PABLO EMILIO MENDOZA VELILLA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lastRenderedPageBreak/>
        <w:t>Subdirector de Gestión Normativa y Doctrina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Dirección de Gestión Jurídica</w:t>
      </w:r>
    </w:p>
    <w:p w:rsidR="0065336F" w:rsidRPr="0065336F" w:rsidRDefault="0065336F" w:rsidP="0065336F">
      <w:pPr>
        <w:rPr>
          <w:rFonts w:ascii="Arial" w:eastAsia="Times New Roman" w:hAnsi="Arial" w:cs="Arial"/>
          <w:color w:val="000000"/>
          <w:sz w:val="22"/>
          <w:lang w:eastAsia="es-CO"/>
        </w:rPr>
      </w:pPr>
      <w:proofErr w:type="spellStart"/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UAE</w:t>
      </w:r>
      <w:proofErr w:type="spellEnd"/>
      <w:r w:rsidRPr="0065336F">
        <w:rPr>
          <w:rFonts w:ascii="Segoe UI" w:eastAsia="Times New Roman" w:hAnsi="Segoe UI" w:cs="Segoe UI"/>
          <w:color w:val="000000"/>
          <w:sz w:val="22"/>
          <w:lang w:eastAsia="es-CO"/>
        </w:rPr>
        <w:t>-DIAN</w:t>
      </w:r>
    </w:p>
    <w:p w:rsidR="00F13F2B" w:rsidRPr="0065336F" w:rsidRDefault="00F13F2B">
      <w:pPr>
        <w:rPr>
          <w:sz w:val="32"/>
          <w:szCs w:val="28"/>
        </w:rPr>
      </w:pPr>
    </w:p>
    <w:sectPr w:rsidR="00F13F2B" w:rsidRPr="00653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6F"/>
    <w:rsid w:val="00403B30"/>
    <w:rsid w:val="0065336F"/>
    <w:rsid w:val="00B32C5D"/>
    <w:rsid w:val="00F1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BF8452-494A-44DF-B3BC-400F8494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5D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403B30"/>
    <w:pPr>
      <w:ind w:left="1134"/>
    </w:pPr>
    <w:rPr>
      <w:sz w:val="22"/>
      <w:szCs w:val="20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403B30"/>
    <w:rPr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5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75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957" TargetMode="External"/><Relationship Id="rId12" Type="http://schemas.openxmlformats.org/officeDocument/2006/relationships/hyperlink" Target="http://www.dian.gov.c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761" TargetMode="External"/><Relationship Id="rId11" Type="http://schemas.openxmlformats.org/officeDocument/2006/relationships/hyperlink" Target="https://www.ceta.org.co/html/vista_de_un_articulo.asp?Norma=758" TargetMode="External"/><Relationship Id="rId5" Type="http://schemas.openxmlformats.org/officeDocument/2006/relationships/hyperlink" Target="https://www.ceta.org.co/html/vista_de_un_articulo.asp?Norma=758" TargetMode="External"/><Relationship Id="rId10" Type="http://schemas.openxmlformats.org/officeDocument/2006/relationships/hyperlink" Target="https://www.ceta.org.co/html/vista_de_un_articulo.asp?Norma=758" TargetMode="External"/><Relationship Id="rId4" Type="http://schemas.openxmlformats.org/officeDocument/2006/relationships/hyperlink" Target="https://www.ceta.org.co/html/vista_de_un_articulo.asp?Norma=755" TargetMode="External"/><Relationship Id="rId9" Type="http://schemas.openxmlformats.org/officeDocument/2006/relationships/hyperlink" Target="https://www.ceta.org.co/html/vista_de_un_articulo.asp?Norma=7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</cp:revision>
  <dcterms:created xsi:type="dcterms:W3CDTF">2020-09-16T17:43:00Z</dcterms:created>
  <dcterms:modified xsi:type="dcterms:W3CDTF">2020-09-16T17:45:00Z</dcterms:modified>
</cp:coreProperties>
</file>