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AF40" w14:textId="585BD0A5" w:rsidR="003237DE" w:rsidRPr="003237DE" w:rsidRDefault="003237DE" w:rsidP="003237DE">
      <w:pPr>
        <w:pStyle w:val="Sinespaciado"/>
        <w:jc w:val="both"/>
        <w:rPr>
          <w:rFonts w:ascii="Verdana" w:hAnsi="Verdana"/>
          <w:b/>
          <w:bCs/>
        </w:rPr>
      </w:pPr>
      <w:bookmarkStart w:id="0" w:name="_GoBack"/>
      <w:bookmarkEnd w:id="0"/>
      <w:r w:rsidRPr="003237DE">
        <w:rPr>
          <w:rFonts w:ascii="Verdana" w:hAnsi="Verdana"/>
          <w:b/>
          <w:bCs/>
        </w:rPr>
        <w:t>CONCEPTO 1401 DEL 29 DE OCTUBRE DE 2020</w:t>
      </w:r>
    </w:p>
    <w:p w14:paraId="55603EFA" w14:textId="2E80E128" w:rsidR="003237DE" w:rsidRPr="003237DE" w:rsidRDefault="003237DE" w:rsidP="003237DE">
      <w:pPr>
        <w:pStyle w:val="Sinespaciado"/>
        <w:jc w:val="both"/>
        <w:rPr>
          <w:rFonts w:ascii="Verdana" w:hAnsi="Verdana"/>
          <w:b/>
          <w:bCs/>
        </w:rPr>
      </w:pPr>
      <w:r w:rsidRPr="003237DE">
        <w:rPr>
          <w:rFonts w:ascii="Verdana" w:hAnsi="Verdana"/>
          <w:b/>
          <w:bCs/>
        </w:rPr>
        <w:t>DIRECCIÓN DE IMPUESTOS Y ADUANAS NACIONALES</w:t>
      </w:r>
    </w:p>
    <w:p w14:paraId="0EE57A07" w14:textId="214A91B3" w:rsidR="003237DE" w:rsidRDefault="003237DE" w:rsidP="003237DE">
      <w:pPr>
        <w:pStyle w:val="Sinespaciado"/>
        <w:jc w:val="both"/>
        <w:rPr>
          <w:rFonts w:ascii="Verdana" w:hAnsi="Verdana"/>
        </w:rPr>
      </w:pPr>
    </w:p>
    <w:p w14:paraId="44C45585" w14:textId="1779F810" w:rsidR="003237DE" w:rsidRDefault="003237DE" w:rsidP="003237DE">
      <w:pPr>
        <w:pStyle w:val="Sinespaciado"/>
        <w:jc w:val="both"/>
        <w:rPr>
          <w:rFonts w:ascii="Verdana" w:hAnsi="Verdana"/>
        </w:rPr>
      </w:pPr>
      <w:r>
        <w:rPr>
          <w:rFonts w:ascii="Verdana" w:hAnsi="Verdana"/>
        </w:rPr>
        <w:t>Bogotá, D.C.</w:t>
      </w:r>
    </w:p>
    <w:p w14:paraId="318D0564" w14:textId="77777777" w:rsidR="003237DE" w:rsidRDefault="003237DE" w:rsidP="003237DE">
      <w:pPr>
        <w:pStyle w:val="Sinespaciado"/>
        <w:jc w:val="both"/>
        <w:rPr>
          <w:rFonts w:ascii="Verdana" w:hAnsi="Verdana"/>
        </w:rPr>
      </w:pPr>
    </w:p>
    <w:p w14:paraId="52D72B64" w14:textId="769AA7BD" w:rsidR="003237DE" w:rsidRDefault="003237DE" w:rsidP="003237DE">
      <w:pPr>
        <w:pStyle w:val="Sinespaciado"/>
        <w:jc w:val="both"/>
        <w:rPr>
          <w:rFonts w:ascii="Verdana" w:hAnsi="Verdana"/>
        </w:rPr>
      </w:pPr>
      <w:r w:rsidRPr="003237DE">
        <w:rPr>
          <w:rFonts w:ascii="Verdana" w:hAnsi="Verdana"/>
          <w:b/>
          <w:bCs/>
        </w:rPr>
        <w:t>Tema</w:t>
      </w:r>
      <w:r>
        <w:rPr>
          <w:rFonts w:ascii="Verdana" w:hAnsi="Verdana"/>
          <w:b/>
          <w:bCs/>
        </w:rPr>
        <w:tab/>
      </w:r>
      <w:r>
        <w:rPr>
          <w:rFonts w:ascii="Verdana" w:hAnsi="Verdana"/>
          <w:b/>
          <w:bCs/>
        </w:rPr>
        <w:tab/>
      </w:r>
      <w:r>
        <w:rPr>
          <w:rFonts w:ascii="Verdana" w:hAnsi="Verdana"/>
          <w:b/>
          <w:bCs/>
        </w:rPr>
        <w:tab/>
      </w:r>
      <w:r w:rsidRPr="003237DE">
        <w:rPr>
          <w:rFonts w:ascii="Verdana" w:hAnsi="Verdana"/>
        </w:rPr>
        <w:t>Impuesto sobre las ventas</w:t>
      </w:r>
    </w:p>
    <w:p w14:paraId="1C78DA49" w14:textId="724293A5" w:rsidR="005A3AE4" w:rsidRPr="003237DE" w:rsidRDefault="003237DE" w:rsidP="003237DE">
      <w:pPr>
        <w:pStyle w:val="Sinespaciado"/>
        <w:jc w:val="both"/>
        <w:rPr>
          <w:rFonts w:ascii="Verdana" w:hAnsi="Verdana"/>
        </w:rPr>
      </w:pPr>
      <w:r w:rsidRPr="003237DE">
        <w:rPr>
          <w:rFonts w:ascii="Verdana" w:hAnsi="Verdana"/>
          <w:b/>
          <w:bCs/>
        </w:rPr>
        <w:t>Descriptor</w:t>
      </w:r>
      <w:r>
        <w:rPr>
          <w:rFonts w:ascii="Verdana" w:hAnsi="Verdana"/>
          <w:b/>
          <w:bCs/>
        </w:rPr>
        <w:tab/>
      </w:r>
      <w:r>
        <w:rPr>
          <w:rFonts w:ascii="Verdana" w:hAnsi="Verdana"/>
          <w:b/>
          <w:bCs/>
        </w:rPr>
        <w:tab/>
      </w:r>
      <w:r>
        <w:rPr>
          <w:rFonts w:ascii="Verdana" w:hAnsi="Verdana"/>
          <w:b/>
          <w:bCs/>
        </w:rPr>
        <w:tab/>
      </w:r>
      <w:r w:rsidRPr="003237DE">
        <w:rPr>
          <w:rFonts w:ascii="Verdana" w:hAnsi="Verdana"/>
        </w:rPr>
        <w:t>Bienes excluidos</w:t>
      </w:r>
    </w:p>
    <w:p w14:paraId="2E5D6E7C" w14:textId="536209CD" w:rsidR="005A3AE4" w:rsidRPr="003237DE" w:rsidRDefault="003237DE" w:rsidP="003237DE">
      <w:pPr>
        <w:pStyle w:val="Sinespaciado"/>
        <w:ind w:left="2832" w:hanging="2832"/>
        <w:jc w:val="both"/>
        <w:rPr>
          <w:rFonts w:ascii="Verdana" w:hAnsi="Verdana"/>
        </w:rPr>
      </w:pPr>
      <w:r w:rsidRPr="003237DE">
        <w:rPr>
          <w:rFonts w:ascii="Verdana" w:hAnsi="Verdana"/>
          <w:b/>
          <w:bCs/>
        </w:rPr>
        <w:t>Fuentes formales</w:t>
      </w:r>
      <w:r>
        <w:rPr>
          <w:rFonts w:ascii="Verdana" w:hAnsi="Verdana"/>
          <w:b/>
          <w:bCs/>
        </w:rPr>
        <w:tab/>
      </w:r>
      <w:r w:rsidRPr="003237DE">
        <w:rPr>
          <w:rFonts w:ascii="Verdana" w:hAnsi="Verdana"/>
        </w:rPr>
        <w:t>Numerales 5° y 6° del artículo 424 del Estatuto Tributario Artículos</w:t>
      </w:r>
      <w:r>
        <w:rPr>
          <w:rFonts w:ascii="Verdana" w:hAnsi="Verdana"/>
        </w:rPr>
        <w:t xml:space="preserve"> 1.3.1.12.10, </w:t>
      </w:r>
      <w:r w:rsidRPr="003237DE">
        <w:rPr>
          <w:rFonts w:ascii="Verdana" w:hAnsi="Verdana"/>
        </w:rPr>
        <w:t>1.3.1.12.21., 1.3.1.12.22., 1.3.1.12.23. del Decreto 1625 de 2016</w:t>
      </w:r>
    </w:p>
    <w:p w14:paraId="51644976" w14:textId="77777777" w:rsidR="005A3AE4" w:rsidRPr="003237DE" w:rsidRDefault="003237DE" w:rsidP="003237DE">
      <w:pPr>
        <w:pStyle w:val="Sinespaciado"/>
        <w:ind w:left="2124" w:firstLine="708"/>
        <w:jc w:val="both"/>
        <w:rPr>
          <w:rFonts w:ascii="Verdana" w:hAnsi="Verdana"/>
        </w:rPr>
      </w:pPr>
      <w:r w:rsidRPr="003237DE">
        <w:rPr>
          <w:rFonts w:ascii="Verdana" w:hAnsi="Verdana"/>
        </w:rPr>
        <w:t>Decretos 1515 de 2017 y 478 de 2020.</w:t>
      </w:r>
    </w:p>
    <w:p w14:paraId="0F631979" w14:textId="77777777" w:rsidR="005A3AE4" w:rsidRPr="003237DE" w:rsidRDefault="003237DE" w:rsidP="003237DE">
      <w:pPr>
        <w:pStyle w:val="Sinespaciado"/>
        <w:ind w:left="2124" w:firstLine="708"/>
        <w:jc w:val="both"/>
        <w:rPr>
          <w:rFonts w:ascii="Verdana" w:hAnsi="Verdana"/>
        </w:rPr>
      </w:pPr>
      <w:r w:rsidRPr="003237DE">
        <w:rPr>
          <w:rFonts w:ascii="Verdana" w:hAnsi="Verdana"/>
        </w:rPr>
        <w:t>Oficio No. 017555 del 8 de julio de 2019.</w:t>
      </w:r>
    </w:p>
    <w:p w14:paraId="03956E73" w14:textId="77777777" w:rsidR="003237DE" w:rsidRDefault="003237DE" w:rsidP="003237DE">
      <w:pPr>
        <w:pStyle w:val="Sinespaciado"/>
        <w:jc w:val="both"/>
        <w:rPr>
          <w:rFonts w:ascii="Verdana" w:hAnsi="Verdana"/>
        </w:rPr>
      </w:pPr>
    </w:p>
    <w:p w14:paraId="67D4F61F" w14:textId="731EE71E" w:rsidR="005A3AE4" w:rsidRPr="003237DE" w:rsidRDefault="003237DE" w:rsidP="003237DE">
      <w:pPr>
        <w:pStyle w:val="Sinespaciado"/>
        <w:jc w:val="both"/>
        <w:rPr>
          <w:rFonts w:ascii="Verdana" w:hAnsi="Verdana"/>
        </w:rPr>
      </w:pPr>
      <w:r w:rsidRPr="003237DE">
        <w:rPr>
          <w:rFonts w:ascii="Verdana" w:hAnsi="Verdana"/>
        </w:rPr>
        <w:t>Cordial saludo,</w:t>
      </w:r>
    </w:p>
    <w:p w14:paraId="1CD6EAD2" w14:textId="77777777" w:rsidR="003237DE" w:rsidRDefault="003237DE" w:rsidP="003237DE">
      <w:pPr>
        <w:pStyle w:val="Sinespaciado"/>
        <w:jc w:val="both"/>
        <w:rPr>
          <w:rFonts w:ascii="Verdana" w:hAnsi="Verdana"/>
        </w:rPr>
      </w:pPr>
    </w:p>
    <w:p w14:paraId="6FF2E1D2" w14:textId="16BAF1B2" w:rsidR="005A3AE4" w:rsidRPr="003237DE" w:rsidRDefault="003237DE" w:rsidP="003237DE">
      <w:pPr>
        <w:pStyle w:val="Sinespaciado"/>
        <w:jc w:val="both"/>
        <w:rPr>
          <w:rFonts w:ascii="Verdana" w:hAnsi="Verdana"/>
        </w:rPr>
      </w:pPr>
      <w:r w:rsidRPr="003237DE">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EFD7F87" w14:textId="77777777" w:rsidR="003237DE" w:rsidRDefault="003237DE" w:rsidP="003237DE">
      <w:pPr>
        <w:pStyle w:val="Sinespaciado"/>
        <w:jc w:val="both"/>
        <w:rPr>
          <w:rFonts w:ascii="Verdana" w:hAnsi="Verdana"/>
        </w:rPr>
      </w:pPr>
    </w:p>
    <w:p w14:paraId="53CE17F8" w14:textId="7BFB33C1" w:rsidR="005A3AE4" w:rsidRPr="003237DE" w:rsidRDefault="003237DE" w:rsidP="003237DE">
      <w:pPr>
        <w:pStyle w:val="Sinespaciado"/>
        <w:jc w:val="both"/>
        <w:rPr>
          <w:rFonts w:ascii="Verdana" w:hAnsi="Verdana"/>
        </w:rPr>
      </w:pPr>
      <w:r w:rsidRPr="003237DE">
        <w:rPr>
          <w:rFonts w:ascii="Verdana" w:hAnsi="Verdana"/>
        </w:rPr>
        <w:t>La peticionaria solicita emitir concepto sobre la aplicación de los numerales 5 y 6 del artículo 424 del Estatuto Tributario. En particular, la peticionaria consulta si los bienes importados con las exclusiones a que hacen referencia los numerales 5 y 6 del artículo 424 del Estatuto Tributario pueden ser objeto de un incremento del precio de venta al público, superando así los topes de los 50 y/o 22 UVT, respectivamente.</w:t>
      </w:r>
    </w:p>
    <w:p w14:paraId="6E411077" w14:textId="77777777" w:rsidR="003237DE" w:rsidRDefault="003237DE" w:rsidP="003237DE">
      <w:pPr>
        <w:pStyle w:val="Sinespaciado"/>
        <w:jc w:val="both"/>
        <w:rPr>
          <w:rFonts w:ascii="Verdana" w:hAnsi="Verdana"/>
        </w:rPr>
      </w:pPr>
    </w:p>
    <w:p w14:paraId="247A677A" w14:textId="0E12472C" w:rsidR="005A3AE4" w:rsidRPr="003237DE" w:rsidRDefault="003237DE" w:rsidP="003237DE">
      <w:pPr>
        <w:pStyle w:val="Sinespaciado"/>
        <w:jc w:val="both"/>
        <w:rPr>
          <w:rFonts w:ascii="Verdana" w:hAnsi="Verdana"/>
        </w:rPr>
      </w:pPr>
      <w:r w:rsidRPr="003237DE">
        <w:rPr>
          <w:rFonts w:ascii="Verdana" w:hAnsi="Verdana"/>
        </w:rPr>
        <w:t>Sobre el particular, las consideraciones de este Despacho son las siguientes:</w:t>
      </w:r>
    </w:p>
    <w:p w14:paraId="0E8D366C" w14:textId="77777777" w:rsidR="003237DE" w:rsidRDefault="003237DE" w:rsidP="003237DE">
      <w:pPr>
        <w:pStyle w:val="Sinespaciado"/>
        <w:jc w:val="both"/>
        <w:rPr>
          <w:rFonts w:ascii="Verdana" w:hAnsi="Verdana"/>
        </w:rPr>
      </w:pPr>
    </w:p>
    <w:p w14:paraId="06E079C2" w14:textId="512188E2" w:rsidR="005A3AE4" w:rsidRPr="003237DE" w:rsidRDefault="003237DE" w:rsidP="003237DE">
      <w:pPr>
        <w:pStyle w:val="Sinespaciado"/>
        <w:jc w:val="both"/>
        <w:rPr>
          <w:rFonts w:ascii="Verdana" w:hAnsi="Verdana"/>
        </w:rPr>
      </w:pPr>
      <w:r w:rsidRPr="003237DE">
        <w:rPr>
          <w:rFonts w:ascii="Verdana" w:hAnsi="Verdana"/>
        </w:rPr>
        <w:t>Los numerales 5 y 6 del artículo 424 del Estatuto Tributario establecen:</w:t>
      </w:r>
    </w:p>
    <w:p w14:paraId="378AA54C" w14:textId="77777777" w:rsidR="003237DE" w:rsidRDefault="003237DE" w:rsidP="003237DE">
      <w:pPr>
        <w:pStyle w:val="Sinespaciado"/>
        <w:jc w:val="both"/>
        <w:rPr>
          <w:rFonts w:ascii="Verdana" w:hAnsi="Verdana"/>
        </w:rPr>
      </w:pPr>
    </w:p>
    <w:p w14:paraId="6CABB10F" w14:textId="5A6D8B6C" w:rsidR="005A3AE4" w:rsidRPr="003237DE" w:rsidRDefault="003237DE" w:rsidP="003237DE">
      <w:pPr>
        <w:pStyle w:val="Sinespaciado"/>
        <w:ind w:left="708"/>
        <w:jc w:val="both"/>
        <w:rPr>
          <w:rFonts w:ascii="Verdana" w:hAnsi="Verdana"/>
          <w:i/>
          <w:iCs/>
          <w:sz w:val="22"/>
          <w:szCs w:val="22"/>
        </w:rPr>
      </w:pPr>
      <w:r w:rsidRPr="003237DE">
        <w:rPr>
          <w:rFonts w:ascii="Verdana" w:hAnsi="Verdana"/>
          <w:i/>
          <w:iCs/>
          <w:sz w:val="22"/>
          <w:szCs w:val="22"/>
        </w:rPr>
        <w:t>“Artículo 424. Bienes que no causan el impuesto. Los siguientes bienes se hallan excluidos del impuesto y por consiguiente su venta o importación no causa el impuesto sobre las ventas. Para tal efecto se utiliza la nomenclatura arancelaria Andina vigente:</w:t>
      </w:r>
    </w:p>
    <w:p w14:paraId="1C81BC27" w14:textId="77777777" w:rsidR="003237DE" w:rsidRDefault="003237DE" w:rsidP="003237DE">
      <w:pPr>
        <w:pStyle w:val="Sinespaciado"/>
        <w:ind w:left="708"/>
        <w:jc w:val="both"/>
        <w:rPr>
          <w:rFonts w:ascii="Verdana" w:hAnsi="Verdana"/>
          <w:i/>
          <w:iCs/>
          <w:sz w:val="22"/>
          <w:szCs w:val="22"/>
        </w:rPr>
      </w:pPr>
    </w:p>
    <w:p w14:paraId="11B48563" w14:textId="5CF42023" w:rsidR="005A3AE4" w:rsidRPr="003237DE" w:rsidRDefault="003237DE" w:rsidP="003237DE">
      <w:pPr>
        <w:pStyle w:val="Sinespaciado"/>
        <w:ind w:left="708"/>
        <w:jc w:val="both"/>
        <w:rPr>
          <w:rFonts w:ascii="Verdana" w:hAnsi="Verdana"/>
        </w:rPr>
      </w:pPr>
      <w:r w:rsidRPr="003237DE">
        <w:rPr>
          <w:rFonts w:ascii="Verdana" w:hAnsi="Verdana"/>
          <w:i/>
          <w:iCs/>
          <w:sz w:val="22"/>
          <w:szCs w:val="22"/>
        </w:rPr>
        <w:t>(...)</w:t>
      </w:r>
    </w:p>
    <w:p w14:paraId="2215251F" w14:textId="77777777" w:rsidR="003237DE" w:rsidRDefault="003237DE" w:rsidP="003237DE">
      <w:pPr>
        <w:pStyle w:val="Sinespaciado"/>
        <w:ind w:left="708"/>
        <w:jc w:val="both"/>
        <w:rPr>
          <w:rFonts w:ascii="Verdana" w:hAnsi="Verdana"/>
          <w:i/>
          <w:iCs/>
          <w:sz w:val="22"/>
          <w:szCs w:val="22"/>
        </w:rPr>
      </w:pPr>
    </w:p>
    <w:p w14:paraId="16ACA3FA" w14:textId="77777777" w:rsidR="003237DE" w:rsidRDefault="003237DE" w:rsidP="003237DE">
      <w:pPr>
        <w:pStyle w:val="Sinespaciado"/>
        <w:ind w:left="708"/>
        <w:jc w:val="both"/>
        <w:rPr>
          <w:rFonts w:ascii="Verdana" w:hAnsi="Verdana"/>
          <w:sz w:val="22"/>
          <w:szCs w:val="22"/>
        </w:rPr>
      </w:pPr>
      <w:r w:rsidRPr="003237DE">
        <w:rPr>
          <w:rFonts w:ascii="Verdana" w:hAnsi="Verdana"/>
          <w:i/>
          <w:iCs/>
          <w:sz w:val="22"/>
          <w:szCs w:val="22"/>
        </w:rPr>
        <w:t xml:space="preserve">5. Los computadores personales de escritorio o portátiles, </w:t>
      </w:r>
      <w:r w:rsidRPr="003237DE">
        <w:rPr>
          <w:rStyle w:val="Cuerpodeltexto12Negrita"/>
          <w:rFonts w:ascii="Verdana" w:hAnsi="Verdana"/>
          <w:sz w:val="22"/>
          <w:szCs w:val="22"/>
        </w:rPr>
        <w:t xml:space="preserve">cuyo valor no </w:t>
      </w:r>
      <w:r w:rsidRPr="003237DE">
        <w:rPr>
          <w:rStyle w:val="Cuerpodeltexto12Negrita"/>
          <w:rFonts w:ascii="Verdana" w:hAnsi="Verdana"/>
          <w:sz w:val="22"/>
          <w:szCs w:val="22"/>
        </w:rPr>
        <w:lastRenderedPageBreak/>
        <w:t>exceda de cincuenta (50) UVT</w:t>
      </w:r>
      <w:r w:rsidRPr="003237DE">
        <w:rPr>
          <w:rFonts w:ascii="Verdana" w:hAnsi="Verdana"/>
          <w:sz w:val="22"/>
          <w:szCs w:val="22"/>
        </w:rPr>
        <w:t>.</w:t>
      </w:r>
    </w:p>
    <w:p w14:paraId="507E4F1B" w14:textId="77777777" w:rsidR="003237DE" w:rsidRDefault="003237DE" w:rsidP="003237DE">
      <w:pPr>
        <w:pStyle w:val="Sinespaciado"/>
        <w:ind w:left="708"/>
        <w:jc w:val="both"/>
        <w:rPr>
          <w:rFonts w:ascii="Verdana" w:hAnsi="Verdana"/>
          <w:i/>
          <w:iCs/>
          <w:sz w:val="22"/>
          <w:szCs w:val="22"/>
        </w:rPr>
      </w:pPr>
    </w:p>
    <w:p w14:paraId="735EE757" w14:textId="582E91F1" w:rsidR="005A3AE4" w:rsidRPr="003237DE" w:rsidRDefault="003237DE" w:rsidP="003237DE">
      <w:pPr>
        <w:pStyle w:val="Sinespaciado"/>
        <w:ind w:left="708"/>
        <w:jc w:val="both"/>
        <w:rPr>
          <w:rFonts w:ascii="Verdana" w:hAnsi="Verdana"/>
          <w:i/>
          <w:iCs/>
          <w:sz w:val="22"/>
          <w:szCs w:val="22"/>
        </w:rPr>
      </w:pPr>
      <w:r w:rsidRPr="003237DE">
        <w:rPr>
          <w:rFonts w:ascii="Verdana" w:hAnsi="Verdana"/>
          <w:i/>
          <w:iCs/>
          <w:sz w:val="22"/>
          <w:szCs w:val="22"/>
        </w:rPr>
        <w:t xml:space="preserve">6. Los dispositivos móviles inteligentes (tabletas y celulares) </w:t>
      </w:r>
      <w:r w:rsidRPr="003237DE">
        <w:rPr>
          <w:rStyle w:val="Cuerpodeltexto12Negrita"/>
          <w:rFonts w:ascii="Verdana" w:hAnsi="Verdana"/>
          <w:sz w:val="22"/>
          <w:szCs w:val="22"/>
        </w:rPr>
        <w:t>cuyo valor no exceda de veintidós (22) UVT</w:t>
      </w:r>
      <w:r w:rsidRPr="003237DE">
        <w:rPr>
          <w:rFonts w:ascii="Verdana" w:hAnsi="Verdana"/>
          <w:i/>
          <w:iCs/>
          <w:sz w:val="22"/>
          <w:szCs w:val="22"/>
        </w:rPr>
        <w:t>. (</w:t>
      </w:r>
      <w:r>
        <w:rPr>
          <w:rFonts w:ascii="Verdana" w:hAnsi="Verdana"/>
          <w:i/>
          <w:iCs/>
          <w:sz w:val="22"/>
          <w:szCs w:val="22"/>
        </w:rPr>
        <w:t>…</w:t>
      </w:r>
      <w:r w:rsidRPr="003237DE">
        <w:rPr>
          <w:rFonts w:ascii="Verdana" w:hAnsi="Verdana"/>
          <w:i/>
          <w:iCs/>
          <w:sz w:val="22"/>
          <w:szCs w:val="22"/>
        </w:rPr>
        <w:t>)”</w:t>
      </w:r>
    </w:p>
    <w:p w14:paraId="0F8DC696" w14:textId="77777777" w:rsidR="003237DE" w:rsidRDefault="003237DE" w:rsidP="003237DE">
      <w:pPr>
        <w:pStyle w:val="Sinespaciado"/>
        <w:jc w:val="both"/>
        <w:rPr>
          <w:rFonts w:ascii="Verdana" w:hAnsi="Verdana"/>
        </w:rPr>
      </w:pPr>
    </w:p>
    <w:p w14:paraId="1ADDE2FA" w14:textId="0DA1B447" w:rsidR="005A3AE4" w:rsidRPr="003237DE" w:rsidRDefault="003237DE" w:rsidP="003237DE">
      <w:pPr>
        <w:pStyle w:val="Sinespaciado"/>
        <w:jc w:val="both"/>
        <w:rPr>
          <w:rFonts w:ascii="Verdana" w:hAnsi="Verdana"/>
        </w:rPr>
      </w:pPr>
      <w:r w:rsidRPr="003237DE">
        <w:rPr>
          <w:rFonts w:ascii="Verdana" w:hAnsi="Verdana"/>
        </w:rPr>
        <w:t>Los artículos 1.3.1.12.21., 1.3.1.12.22. y 1.3.1.12.23. del Decreto 1625 de 2016 (incorporados por el Decreto 478 de 2020) regulan la exclusión de que trata el numeral 5 del artículo 424 del Estatuto Tributario. Respecto al valor a tener en cuenta para la procedencia de dicha exclusión, dichas disposiciones normativas establecen:</w:t>
      </w:r>
    </w:p>
    <w:p w14:paraId="4C61FC8A" w14:textId="77777777" w:rsidR="003237DE" w:rsidRDefault="003237DE" w:rsidP="003237DE">
      <w:pPr>
        <w:pStyle w:val="Sinespaciado"/>
        <w:jc w:val="both"/>
        <w:rPr>
          <w:rFonts w:ascii="Verdana" w:hAnsi="Verdana"/>
        </w:rPr>
      </w:pPr>
    </w:p>
    <w:p w14:paraId="4D5959BA" w14:textId="38E8B94F" w:rsidR="005A3AE4" w:rsidRPr="003237DE" w:rsidRDefault="003237DE" w:rsidP="003237DE">
      <w:pPr>
        <w:pStyle w:val="Sinespaciado"/>
        <w:ind w:left="708"/>
        <w:jc w:val="both"/>
        <w:rPr>
          <w:rFonts w:ascii="Verdana" w:hAnsi="Verdana"/>
          <w:i/>
          <w:iCs/>
          <w:sz w:val="22"/>
          <w:szCs w:val="22"/>
        </w:rPr>
      </w:pPr>
      <w:r>
        <w:rPr>
          <w:rFonts w:ascii="Verdana" w:hAnsi="Verdana"/>
          <w:i/>
          <w:iCs/>
          <w:sz w:val="22"/>
          <w:szCs w:val="22"/>
        </w:rPr>
        <w:t>“</w:t>
      </w:r>
      <w:r w:rsidRPr="003237DE">
        <w:rPr>
          <w:rFonts w:ascii="Verdana" w:hAnsi="Verdana"/>
          <w:i/>
          <w:iCs/>
          <w:sz w:val="22"/>
          <w:szCs w:val="22"/>
        </w:rPr>
        <w:t xml:space="preserve">Artículo 1.3.1.12.22. Valor a tener en cuenta para la exclusión del impuesto sobre las ventas - IVA en la venta de computadores en el territorio nacional. El valor a tener en cuenta para la exclusión del impuesto sobre las ventas -IVA en la venta de computadores en el territorio nacional, </w:t>
      </w:r>
      <w:r w:rsidRPr="003237DE">
        <w:rPr>
          <w:rStyle w:val="Cuerpodeltexto12Negrita"/>
          <w:rFonts w:ascii="Verdana" w:hAnsi="Verdana"/>
          <w:sz w:val="22"/>
          <w:szCs w:val="22"/>
        </w:rPr>
        <w:t>es el valor de venta</w:t>
      </w:r>
      <w:r w:rsidRPr="003237DE">
        <w:rPr>
          <w:rFonts w:ascii="Verdana" w:hAnsi="Verdana"/>
          <w:sz w:val="22"/>
          <w:szCs w:val="22"/>
        </w:rPr>
        <w:t>.</w:t>
      </w:r>
    </w:p>
    <w:p w14:paraId="20F84E4B" w14:textId="77777777" w:rsidR="003237DE" w:rsidRDefault="003237DE" w:rsidP="003237DE">
      <w:pPr>
        <w:pStyle w:val="Sinespaciado"/>
        <w:ind w:left="708"/>
        <w:jc w:val="both"/>
        <w:rPr>
          <w:rFonts w:ascii="Verdana" w:hAnsi="Verdana"/>
          <w:i/>
          <w:iCs/>
          <w:sz w:val="22"/>
          <w:szCs w:val="22"/>
        </w:rPr>
      </w:pPr>
    </w:p>
    <w:p w14:paraId="77D4044A" w14:textId="70E05927" w:rsidR="005A3AE4" w:rsidRPr="003237DE" w:rsidRDefault="003237DE" w:rsidP="003237DE">
      <w:pPr>
        <w:pStyle w:val="Sinespaciado"/>
        <w:ind w:left="708"/>
        <w:jc w:val="both"/>
        <w:rPr>
          <w:rFonts w:ascii="Verdana" w:hAnsi="Verdana"/>
        </w:rPr>
      </w:pPr>
      <w:r w:rsidRPr="003237DE">
        <w:rPr>
          <w:rFonts w:ascii="Verdana" w:hAnsi="Verdana"/>
          <w:i/>
          <w:iCs/>
          <w:sz w:val="22"/>
          <w:szCs w:val="22"/>
        </w:rPr>
        <w:t xml:space="preserve">Artículo 1.3.1.12.23. Valor a tener en cuenta para la exclusión del impuesto sobre las ventas -IVA en la importación de computadores. El valor a tener en cuenta para la exclusión del impuesto sobre las ventas -IVA en la importación de computadores, </w:t>
      </w:r>
      <w:r w:rsidRPr="003237DE">
        <w:rPr>
          <w:rStyle w:val="Cuerpodeltexto12Negrita"/>
          <w:rFonts w:ascii="Verdana" w:hAnsi="Verdana"/>
          <w:sz w:val="22"/>
          <w:szCs w:val="22"/>
        </w:rPr>
        <w:t>es la base gravable para liquidar este impuesto sin incluir los derechos de aduana</w:t>
      </w:r>
      <w:r w:rsidRPr="003237DE">
        <w:rPr>
          <w:rFonts w:ascii="Verdana" w:hAnsi="Verdana"/>
          <w:sz w:val="22"/>
          <w:szCs w:val="22"/>
        </w:rPr>
        <w:t>.”</w:t>
      </w:r>
    </w:p>
    <w:p w14:paraId="62D36A3B" w14:textId="77777777" w:rsidR="003237DE" w:rsidRDefault="003237DE" w:rsidP="003237DE">
      <w:pPr>
        <w:pStyle w:val="Sinespaciado"/>
        <w:jc w:val="both"/>
        <w:rPr>
          <w:rFonts w:ascii="Verdana" w:hAnsi="Verdana"/>
        </w:rPr>
      </w:pPr>
    </w:p>
    <w:p w14:paraId="1BB59547" w14:textId="7D9A94AF" w:rsidR="005A3AE4" w:rsidRPr="003237DE" w:rsidRDefault="003237DE" w:rsidP="003237DE">
      <w:pPr>
        <w:pStyle w:val="Sinespaciado"/>
        <w:jc w:val="both"/>
        <w:rPr>
          <w:rFonts w:ascii="Verdana" w:hAnsi="Verdana"/>
        </w:rPr>
      </w:pPr>
      <w:r w:rsidRPr="003237DE">
        <w:rPr>
          <w:rFonts w:ascii="Verdana" w:hAnsi="Verdana"/>
        </w:rPr>
        <w:t>Por su parte, el artículo</w:t>
      </w:r>
      <w:r>
        <w:rPr>
          <w:rFonts w:ascii="Verdana" w:hAnsi="Verdana"/>
        </w:rPr>
        <w:t xml:space="preserve"> 1.3.1.12.10. </w:t>
      </w:r>
      <w:r w:rsidRPr="003237DE">
        <w:rPr>
          <w:rFonts w:ascii="Verdana" w:hAnsi="Verdana"/>
        </w:rPr>
        <w:t>del Decreto 1625 de 2016 (incorporado por el Decreto 1515 de 2017) reglamenta la exclusión de que trata el numeral 6 del artículo 424 del Estatuto Tributario y señala:</w:t>
      </w:r>
    </w:p>
    <w:p w14:paraId="72942348" w14:textId="77777777" w:rsidR="003237DE" w:rsidRDefault="003237DE" w:rsidP="003237DE">
      <w:pPr>
        <w:pStyle w:val="Sinespaciado"/>
        <w:jc w:val="both"/>
        <w:rPr>
          <w:rFonts w:ascii="Verdana" w:hAnsi="Verdana"/>
        </w:rPr>
      </w:pPr>
    </w:p>
    <w:p w14:paraId="202C8B27" w14:textId="1A2DC17B" w:rsidR="005A3AE4" w:rsidRPr="003237DE" w:rsidRDefault="003237DE" w:rsidP="003237DE">
      <w:pPr>
        <w:pStyle w:val="Sinespaciado"/>
        <w:ind w:left="708"/>
        <w:jc w:val="both"/>
        <w:rPr>
          <w:rFonts w:ascii="Verdana" w:hAnsi="Verdana"/>
          <w:i/>
          <w:iCs/>
          <w:sz w:val="22"/>
          <w:szCs w:val="22"/>
        </w:rPr>
      </w:pPr>
      <w:r>
        <w:rPr>
          <w:rFonts w:ascii="Verdana" w:hAnsi="Verdana"/>
          <w:i/>
          <w:iCs/>
          <w:sz w:val="22"/>
          <w:szCs w:val="22"/>
        </w:rPr>
        <w:t>“</w:t>
      </w:r>
      <w:r w:rsidRPr="003237DE">
        <w:rPr>
          <w:rFonts w:ascii="Verdana" w:hAnsi="Verdana"/>
          <w:i/>
          <w:iCs/>
          <w:sz w:val="22"/>
          <w:szCs w:val="22"/>
        </w:rPr>
        <w:t>Artículo 1.3.1.12.10. Dispositivos móviles inteligentes excluidos del impuesto sobre las ventas. Para efectos de lo dispuesto en el numeral 6 del artículo 424 del Estatuto Tributario, se entenderá por dispositivos móviles inteligentes (tabletas y celulares) aquellos que cumplan con la totalidad de las siguientes características:</w:t>
      </w:r>
    </w:p>
    <w:p w14:paraId="6A61A7D9" w14:textId="77777777" w:rsidR="003237DE" w:rsidRDefault="003237DE" w:rsidP="003237DE">
      <w:pPr>
        <w:pStyle w:val="Sinespaciado"/>
        <w:ind w:left="708"/>
        <w:jc w:val="both"/>
        <w:rPr>
          <w:rFonts w:ascii="Verdana" w:hAnsi="Verdana"/>
          <w:i/>
          <w:iCs/>
          <w:sz w:val="22"/>
          <w:szCs w:val="22"/>
        </w:rPr>
      </w:pPr>
    </w:p>
    <w:p w14:paraId="67E32025" w14:textId="6864496C" w:rsidR="005A3AE4" w:rsidRPr="003237DE" w:rsidRDefault="003237DE" w:rsidP="003237DE">
      <w:pPr>
        <w:pStyle w:val="Sinespaciado"/>
        <w:ind w:left="708"/>
        <w:jc w:val="both"/>
        <w:rPr>
          <w:rFonts w:ascii="Verdana" w:hAnsi="Verdana"/>
          <w:i/>
          <w:iCs/>
          <w:sz w:val="22"/>
          <w:szCs w:val="22"/>
        </w:rPr>
      </w:pPr>
      <w:r w:rsidRPr="003237DE">
        <w:rPr>
          <w:rFonts w:ascii="Verdana" w:hAnsi="Verdana"/>
          <w:i/>
          <w:iCs/>
          <w:sz w:val="22"/>
          <w:szCs w:val="22"/>
        </w:rPr>
        <w:t>(...)</w:t>
      </w:r>
    </w:p>
    <w:p w14:paraId="701C6B2D" w14:textId="77777777" w:rsidR="003237DE" w:rsidRDefault="003237DE" w:rsidP="003237DE">
      <w:pPr>
        <w:pStyle w:val="Sinespaciado"/>
        <w:ind w:left="708"/>
        <w:jc w:val="both"/>
        <w:rPr>
          <w:rFonts w:ascii="Verdana" w:hAnsi="Verdana"/>
          <w:i/>
          <w:iCs/>
          <w:sz w:val="22"/>
          <w:szCs w:val="22"/>
        </w:rPr>
      </w:pPr>
    </w:p>
    <w:p w14:paraId="0F552880" w14:textId="3F711416" w:rsidR="005A3AE4" w:rsidRPr="003237DE" w:rsidRDefault="003237DE" w:rsidP="003237DE">
      <w:pPr>
        <w:pStyle w:val="Sinespaciado"/>
        <w:ind w:left="708"/>
        <w:jc w:val="both"/>
        <w:rPr>
          <w:rFonts w:ascii="Verdana" w:hAnsi="Verdana"/>
          <w:i/>
          <w:iCs/>
          <w:sz w:val="22"/>
          <w:szCs w:val="22"/>
        </w:rPr>
      </w:pPr>
      <w:r w:rsidRPr="003237DE">
        <w:rPr>
          <w:rFonts w:ascii="Verdana" w:hAnsi="Verdana"/>
          <w:i/>
          <w:iCs/>
          <w:sz w:val="22"/>
          <w:szCs w:val="22"/>
        </w:rPr>
        <w:t xml:space="preserve">Parágrafo 1°. La exclusión del Impuesto sobre las Ventas (IVA) en la venta de dispositivos móviles inteligentes (tabletas o celulares), consagrada en el numeral 6 del artículo 424 del Estatuto Tributario, </w:t>
      </w:r>
      <w:r w:rsidRPr="003237DE">
        <w:rPr>
          <w:rStyle w:val="Cuerpodeltexto12Negrita"/>
          <w:rFonts w:ascii="Verdana" w:hAnsi="Verdana"/>
          <w:sz w:val="22"/>
          <w:szCs w:val="22"/>
        </w:rPr>
        <w:t>aplica para aquellos dispositivos cuyo valor al momento de la venta al público no exceda de veintidós (22) UVT</w:t>
      </w:r>
      <w:r w:rsidRPr="003237DE">
        <w:rPr>
          <w:rFonts w:ascii="Verdana" w:hAnsi="Verdana"/>
          <w:i/>
          <w:iCs/>
          <w:sz w:val="22"/>
          <w:szCs w:val="22"/>
        </w:rPr>
        <w:t>.</w:t>
      </w:r>
    </w:p>
    <w:p w14:paraId="36245825" w14:textId="77777777" w:rsidR="003237DE" w:rsidRDefault="003237DE" w:rsidP="003237DE">
      <w:pPr>
        <w:pStyle w:val="Sinespaciado"/>
        <w:ind w:left="708"/>
        <w:jc w:val="both"/>
        <w:rPr>
          <w:rStyle w:val="Cuerpodeltexto4Sinnegrita"/>
          <w:rFonts w:ascii="Verdana" w:hAnsi="Verdana"/>
          <w:b w:val="0"/>
          <w:bCs w:val="0"/>
          <w:sz w:val="22"/>
          <w:szCs w:val="22"/>
        </w:rPr>
      </w:pPr>
    </w:p>
    <w:p w14:paraId="50FF700B" w14:textId="0D489FBA" w:rsidR="005A3AE4" w:rsidRPr="003237DE" w:rsidRDefault="003237DE" w:rsidP="003237DE">
      <w:pPr>
        <w:pStyle w:val="Sinespaciado"/>
        <w:ind w:left="708"/>
        <w:jc w:val="both"/>
        <w:rPr>
          <w:rFonts w:ascii="Verdana" w:hAnsi="Verdana"/>
          <w:i/>
          <w:iCs/>
          <w:sz w:val="22"/>
          <w:szCs w:val="22"/>
        </w:rPr>
      </w:pPr>
      <w:r w:rsidRPr="003237DE">
        <w:rPr>
          <w:rStyle w:val="Cuerpodeltexto4Sinnegrita"/>
          <w:rFonts w:ascii="Verdana" w:hAnsi="Verdana"/>
          <w:b w:val="0"/>
          <w:bCs w:val="0"/>
          <w:sz w:val="22"/>
          <w:szCs w:val="22"/>
        </w:rPr>
        <w:t xml:space="preserve">Para efectos de la aplicación de la exclusión del Impuesto sobre las Ventas (IVA) en la importación de los bienes señalados en este artículo, </w:t>
      </w:r>
      <w:r w:rsidRPr="003237DE">
        <w:rPr>
          <w:rStyle w:val="Cuerpodeltexto41"/>
          <w:rFonts w:ascii="Verdana" w:hAnsi="Verdana"/>
          <w:sz w:val="22"/>
          <w:szCs w:val="22"/>
        </w:rPr>
        <w:t xml:space="preserve">se tendrá en cuenta el valor de los dispositivos móviles inteligentes establecidos en la factura o documento soporte de la declaración de </w:t>
      </w:r>
      <w:r w:rsidRPr="003237DE">
        <w:rPr>
          <w:rStyle w:val="Cuerpodeltexto41"/>
          <w:rFonts w:ascii="Verdana" w:hAnsi="Verdana"/>
          <w:sz w:val="22"/>
          <w:szCs w:val="22"/>
        </w:rPr>
        <w:lastRenderedPageBreak/>
        <w:t>importación</w:t>
      </w:r>
      <w:r w:rsidRPr="003237DE">
        <w:rPr>
          <w:rStyle w:val="Cuerpodeltexto4Sinnegrita"/>
          <w:rFonts w:ascii="Verdana" w:hAnsi="Verdana"/>
          <w:b w:val="0"/>
          <w:bCs w:val="0"/>
          <w:sz w:val="22"/>
          <w:szCs w:val="22"/>
        </w:rPr>
        <w:t>.</w:t>
      </w:r>
    </w:p>
    <w:p w14:paraId="2A8A8D3C" w14:textId="77777777" w:rsidR="003237DE" w:rsidRDefault="003237DE" w:rsidP="003237DE">
      <w:pPr>
        <w:pStyle w:val="Sinespaciado"/>
        <w:ind w:left="708"/>
        <w:jc w:val="both"/>
        <w:rPr>
          <w:rFonts w:ascii="Verdana" w:hAnsi="Verdana"/>
          <w:i/>
          <w:iCs/>
          <w:sz w:val="22"/>
          <w:szCs w:val="22"/>
        </w:rPr>
      </w:pPr>
    </w:p>
    <w:p w14:paraId="727A4304" w14:textId="2B565869" w:rsidR="005A3AE4" w:rsidRPr="003237DE" w:rsidRDefault="003237DE" w:rsidP="003237DE">
      <w:pPr>
        <w:pStyle w:val="Sinespaciado"/>
        <w:ind w:left="708"/>
        <w:jc w:val="both"/>
        <w:rPr>
          <w:rFonts w:ascii="Verdana" w:hAnsi="Verdana"/>
        </w:rPr>
      </w:pPr>
      <w:r w:rsidRPr="003237DE">
        <w:rPr>
          <w:rFonts w:ascii="Verdana" w:hAnsi="Verdana"/>
          <w:i/>
          <w:iCs/>
          <w:sz w:val="22"/>
          <w:szCs w:val="22"/>
        </w:rPr>
        <w:t>Parágrafo 2°. Descuentos condicionados. Los descuentos sujetos a algún tipo de circunstancia o hecho pasado, presente o futuro para su concesión, posterior a la operación económica no representarán un menor valor en el precio de la venta para la determinación de las Unidades de Valor Tributario (UVT) a que hace referencia este artículo”.</w:t>
      </w:r>
    </w:p>
    <w:p w14:paraId="13B4F0D4" w14:textId="77777777" w:rsidR="003237DE" w:rsidRDefault="003237DE" w:rsidP="003237DE">
      <w:pPr>
        <w:pStyle w:val="Sinespaciado"/>
        <w:jc w:val="both"/>
        <w:rPr>
          <w:rFonts w:ascii="Verdana" w:hAnsi="Verdana"/>
        </w:rPr>
      </w:pPr>
    </w:p>
    <w:p w14:paraId="5769D54E" w14:textId="20590F84" w:rsidR="005A3AE4" w:rsidRPr="003237DE" w:rsidRDefault="003237DE" w:rsidP="003237DE">
      <w:pPr>
        <w:pStyle w:val="Sinespaciado"/>
        <w:jc w:val="both"/>
        <w:rPr>
          <w:rFonts w:ascii="Verdana" w:hAnsi="Verdana"/>
        </w:rPr>
      </w:pPr>
      <w:r w:rsidRPr="003237DE">
        <w:rPr>
          <w:rFonts w:ascii="Verdana" w:hAnsi="Verdana"/>
        </w:rPr>
        <w:t>En consideración al marco normativo, se tiene que deben observarse por separado tanto la importación como la venta de los bienes materia de exclusión, a que se refieren los numerales 5 y 6 del artículo 424 del Estatuto Tributario, con el fin de establecer si cumplen con los requisitos.</w:t>
      </w:r>
    </w:p>
    <w:p w14:paraId="35CA33BE" w14:textId="77777777" w:rsidR="003237DE" w:rsidRDefault="003237DE" w:rsidP="003237DE">
      <w:pPr>
        <w:pStyle w:val="Sinespaciado"/>
        <w:jc w:val="both"/>
        <w:rPr>
          <w:rFonts w:ascii="Verdana" w:hAnsi="Verdana"/>
        </w:rPr>
      </w:pPr>
    </w:p>
    <w:p w14:paraId="1228FE0F" w14:textId="1F87BF7F" w:rsidR="005A3AE4" w:rsidRPr="003237DE" w:rsidRDefault="003237DE" w:rsidP="003237DE">
      <w:pPr>
        <w:pStyle w:val="Sinespaciado"/>
        <w:jc w:val="both"/>
        <w:rPr>
          <w:rFonts w:ascii="Verdana" w:hAnsi="Verdana"/>
        </w:rPr>
      </w:pPr>
      <w:r w:rsidRPr="003237DE">
        <w:rPr>
          <w:rFonts w:ascii="Verdana" w:hAnsi="Verdana"/>
        </w:rPr>
        <w:t>Esto significa que si un bien se importó al amparo de la exclusión prevista en los numerales 5° y 6° del artículo 424 del Estatuto Tributario y su valor a la hora de la venta se incrementa por diferentes factores (por ejemplo, márgenes de utilidad, costos, gastos, etc.), que inciden en su precio final de venta al público, superando como consecuencia de éstos los respectivos topes para gozar de la exclusión del IVA, su posterior venta estará gravada con el IVA.</w:t>
      </w:r>
    </w:p>
    <w:p w14:paraId="2BD42450" w14:textId="77777777" w:rsidR="003237DE" w:rsidRDefault="003237DE" w:rsidP="003237DE">
      <w:pPr>
        <w:pStyle w:val="Sinespaciado"/>
        <w:jc w:val="both"/>
        <w:rPr>
          <w:rFonts w:ascii="Verdana" w:hAnsi="Verdana"/>
        </w:rPr>
      </w:pPr>
    </w:p>
    <w:p w14:paraId="49A74E6E" w14:textId="04514BF9" w:rsidR="005A3AE4" w:rsidRPr="003237DE" w:rsidRDefault="003237DE" w:rsidP="003237DE">
      <w:pPr>
        <w:pStyle w:val="Sinespaciado"/>
        <w:jc w:val="both"/>
        <w:rPr>
          <w:rFonts w:ascii="Verdana" w:hAnsi="Verdana"/>
        </w:rPr>
      </w:pPr>
      <w:r w:rsidRPr="003237DE">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3237DE">
        <w:rPr>
          <w:rFonts w:ascii="Verdana" w:hAnsi="Verdana"/>
          <w:lang w:val="en-US" w:eastAsia="en-US" w:bidi="en-US"/>
        </w:rPr>
        <w:t xml:space="preserve">, </w:t>
      </w:r>
      <w:r w:rsidRPr="003237DE">
        <w:rPr>
          <w:rFonts w:ascii="Verdana" w:hAnsi="Verdana"/>
        </w:rPr>
        <w:t>la base de conceptos en materia tributaria, aduanera y cambiaria expedidos desde el año 2001, la cual se puede ingresar por el icono de “Normatividad” -</w:t>
      </w:r>
      <w:r>
        <w:rPr>
          <w:rFonts w:ascii="Verdana" w:hAnsi="Verdana"/>
        </w:rPr>
        <w:t xml:space="preserve"> </w:t>
      </w:r>
      <w:r w:rsidRPr="003237DE">
        <w:rPr>
          <w:rFonts w:ascii="Verdana" w:hAnsi="Verdana"/>
        </w:rPr>
        <w:t>“técnica”-, dando click en el link “Doctrina Dirección de Gestión Jurídica”.</w:t>
      </w:r>
    </w:p>
    <w:p w14:paraId="45BB9F9A" w14:textId="77777777" w:rsidR="003237DE" w:rsidRDefault="003237DE" w:rsidP="003237DE">
      <w:pPr>
        <w:pStyle w:val="Sinespaciado"/>
        <w:jc w:val="both"/>
        <w:rPr>
          <w:rFonts w:ascii="Verdana" w:hAnsi="Verdana"/>
        </w:rPr>
      </w:pPr>
    </w:p>
    <w:p w14:paraId="2F9ABD67" w14:textId="77777777" w:rsidR="003237DE" w:rsidRDefault="003237DE" w:rsidP="003237DE">
      <w:pPr>
        <w:pStyle w:val="Sinespaciado"/>
        <w:jc w:val="both"/>
        <w:rPr>
          <w:rFonts w:ascii="Verdana" w:hAnsi="Verdana"/>
        </w:rPr>
      </w:pPr>
    </w:p>
    <w:p w14:paraId="3278A8A7" w14:textId="49E6A026" w:rsidR="005A3AE4" w:rsidRPr="003237DE" w:rsidRDefault="003237DE" w:rsidP="003237DE">
      <w:pPr>
        <w:pStyle w:val="Sinespaciado"/>
        <w:jc w:val="both"/>
        <w:rPr>
          <w:rFonts w:ascii="Verdana" w:hAnsi="Verdana"/>
        </w:rPr>
      </w:pPr>
      <w:r w:rsidRPr="003237DE">
        <w:rPr>
          <w:rFonts w:ascii="Verdana" w:hAnsi="Verdana"/>
        </w:rPr>
        <w:t>Atentamente,</w:t>
      </w:r>
    </w:p>
    <w:p w14:paraId="47492A83" w14:textId="77777777" w:rsidR="003237DE" w:rsidRDefault="003237DE" w:rsidP="003237DE">
      <w:pPr>
        <w:pStyle w:val="Sinespaciado"/>
        <w:jc w:val="both"/>
        <w:rPr>
          <w:rFonts w:ascii="Verdana" w:hAnsi="Verdana"/>
        </w:rPr>
      </w:pPr>
    </w:p>
    <w:p w14:paraId="1AB135DC" w14:textId="77777777" w:rsidR="003237DE" w:rsidRDefault="003237DE" w:rsidP="003237DE">
      <w:pPr>
        <w:pStyle w:val="Sinespaciado"/>
        <w:jc w:val="both"/>
        <w:rPr>
          <w:rFonts w:ascii="Verdana" w:hAnsi="Verdana"/>
        </w:rPr>
      </w:pPr>
    </w:p>
    <w:p w14:paraId="1852BFF8" w14:textId="77777777" w:rsidR="003237DE" w:rsidRDefault="003237DE" w:rsidP="003237DE">
      <w:pPr>
        <w:pStyle w:val="Sinespaciado"/>
        <w:jc w:val="both"/>
        <w:rPr>
          <w:rFonts w:ascii="Verdana" w:hAnsi="Verdana"/>
        </w:rPr>
      </w:pPr>
    </w:p>
    <w:p w14:paraId="26CC93B9" w14:textId="1B6BF996" w:rsidR="005A3AE4" w:rsidRPr="003237DE" w:rsidRDefault="003237DE" w:rsidP="003237DE">
      <w:pPr>
        <w:pStyle w:val="Sinespaciado"/>
        <w:jc w:val="both"/>
        <w:rPr>
          <w:rFonts w:ascii="Verdana" w:hAnsi="Verdana"/>
          <w:b/>
          <w:bCs/>
        </w:rPr>
      </w:pPr>
      <w:r w:rsidRPr="003237DE">
        <w:rPr>
          <w:rFonts w:ascii="Verdana" w:hAnsi="Verdana"/>
          <w:b/>
          <w:bCs/>
        </w:rPr>
        <w:t>PABLO EMILIO MENDOZA VELILLA</w:t>
      </w:r>
    </w:p>
    <w:p w14:paraId="4DE168EA" w14:textId="77777777" w:rsidR="003237DE" w:rsidRDefault="003237DE" w:rsidP="003237DE">
      <w:pPr>
        <w:pStyle w:val="Sinespaciado"/>
        <w:jc w:val="both"/>
        <w:rPr>
          <w:rFonts w:ascii="Verdana" w:hAnsi="Verdana"/>
        </w:rPr>
      </w:pPr>
      <w:r w:rsidRPr="003237DE">
        <w:rPr>
          <w:rFonts w:ascii="Verdana" w:hAnsi="Verdana"/>
        </w:rPr>
        <w:t>Subdirector de Gestión Normativa y Doctrina</w:t>
      </w:r>
    </w:p>
    <w:p w14:paraId="0B84EE3E" w14:textId="77777777" w:rsidR="003237DE" w:rsidRDefault="003237DE" w:rsidP="003237DE">
      <w:pPr>
        <w:pStyle w:val="Sinespaciado"/>
        <w:jc w:val="both"/>
        <w:rPr>
          <w:rFonts w:ascii="Verdana" w:hAnsi="Verdana"/>
        </w:rPr>
      </w:pPr>
      <w:r w:rsidRPr="003237DE">
        <w:rPr>
          <w:rFonts w:ascii="Verdana" w:hAnsi="Verdana"/>
        </w:rPr>
        <w:t>Dirección de Gestión Jurídica</w:t>
      </w:r>
    </w:p>
    <w:p w14:paraId="114BD8C8" w14:textId="40B21964" w:rsidR="005A3AE4" w:rsidRPr="003237DE" w:rsidRDefault="003237DE" w:rsidP="003237DE">
      <w:pPr>
        <w:pStyle w:val="Sinespaciado"/>
        <w:jc w:val="both"/>
        <w:rPr>
          <w:rFonts w:ascii="Verdana" w:hAnsi="Verdana"/>
        </w:rPr>
      </w:pPr>
      <w:r w:rsidRPr="003237DE">
        <w:rPr>
          <w:rFonts w:ascii="Verdana" w:hAnsi="Verdana"/>
        </w:rPr>
        <w:t>UAE-DIAN</w:t>
      </w:r>
    </w:p>
    <w:p w14:paraId="472943C1" w14:textId="77777777" w:rsidR="003237DE" w:rsidRDefault="003237DE" w:rsidP="003237DE">
      <w:pPr>
        <w:pStyle w:val="Sinespaciado"/>
        <w:jc w:val="both"/>
        <w:rPr>
          <w:rFonts w:ascii="Verdana" w:hAnsi="Verdana"/>
        </w:rPr>
      </w:pPr>
      <w:r w:rsidRPr="003237DE">
        <w:rPr>
          <w:rFonts w:ascii="Verdana" w:hAnsi="Verdana"/>
        </w:rPr>
        <w:t>Car. 8 N° 6C-38 Piso 4, Edificio San Agustín</w:t>
      </w:r>
    </w:p>
    <w:p w14:paraId="25C82974" w14:textId="782BE626" w:rsidR="005A3AE4" w:rsidRPr="003237DE" w:rsidRDefault="003237DE" w:rsidP="003237DE">
      <w:pPr>
        <w:pStyle w:val="Sinespaciado"/>
        <w:jc w:val="both"/>
        <w:rPr>
          <w:rFonts w:ascii="Verdana" w:hAnsi="Verdana"/>
        </w:rPr>
      </w:pPr>
      <w:r w:rsidRPr="003237DE">
        <w:rPr>
          <w:rFonts w:ascii="Verdana" w:hAnsi="Verdana"/>
        </w:rPr>
        <w:t>Bogotá D.C.</w:t>
      </w:r>
    </w:p>
    <w:sectPr w:rsidR="005A3AE4" w:rsidRPr="003237DE" w:rsidSect="003237DE">
      <w:headerReference w:type="default" r:id="rId6"/>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FCAF" w14:textId="77777777" w:rsidR="00136C73" w:rsidRDefault="00136C73">
      <w:r>
        <w:separator/>
      </w:r>
    </w:p>
  </w:endnote>
  <w:endnote w:type="continuationSeparator" w:id="0">
    <w:p w14:paraId="3DA8BDC2" w14:textId="77777777" w:rsidR="00136C73" w:rsidRDefault="0013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9C7B" w14:textId="77777777" w:rsidR="00136C73" w:rsidRDefault="00136C73"/>
  </w:footnote>
  <w:footnote w:type="continuationSeparator" w:id="0">
    <w:p w14:paraId="2CA3AC7F" w14:textId="77777777" w:rsidR="00136C73" w:rsidRDefault="00136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6CB8" w14:textId="77777777" w:rsidR="005A3AE4" w:rsidRDefault="005A3A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E4"/>
    <w:rsid w:val="00136C73"/>
    <w:rsid w:val="003237DE"/>
    <w:rsid w:val="005A3AE4"/>
    <w:rsid w:val="008C5433"/>
    <w:rsid w:val="00CE3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880AB"/>
  <w15:docId w15:val="{ABD46ED4-9018-4E15-B308-057FDB6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Encabezamientoopiedepgina17">
    <w:name w:val="Encabezamiento o pie de página (17)_"/>
    <w:basedOn w:val="Fuentedeprrafopredeter"/>
    <w:link w:val="Encabezamientoopiedepgina170"/>
    <w:rPr>
      <w:rFonts w:ascii="Arial" w:eastAsia="Arial" w:hAnsi="Arial" w:cs="Arial"/>
      <w:b w:val="0"/>
      <w:bCs w:val="0"/>
      <w:i w:val="0"/>
      <w:iCs w:val="0"/>
      <w:smallCaps w:val="0"/>
      <w:strike w:val="0"/>
      <w:sz w:val="22"/>
      <w:szCs w:val="22"/>
      <w:u w:val="none"/>
    </w:rPr>
  </w:style>
  <w:style w:type="character" w:customStyle="1" w:styleId="Cuerpodeltexto210pto">
    <w:name w:val="Cuerpo del texto (2) + 10 pto"/>
    <w:basedOn w:val="Cuerpodeltext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12">
    <w:name w:val="Cuerpo del texto (12)_"/>
    <w:basedOn w:val="Fuentedeprrafopredeter"/>
    <w:link w:val="Cuerpodeltexto120"/>
    <w:rPr>
      <w:rFonts w:ascii="Arial" w:eastAsia="Arial" w:hAnsi="Arial" w:cs="Arial"/>
      <w:b w:val="0"/>
      <w:bCs w:val="0"/>
      <w:i/>
      <w:iCs/>
      <w:smallCaps w:val="0"/>
      <w:strike w:val="0"/>
      <w:sz w:val="19"/>
      <w:szCs w:val="19"/>
      <w:u w:val="none"/>
    </w:rPr>
  </w:style>
  <w:style w:type="character" w:customStyle="1" w:styleId="Cuerpodeltexto12Negrita">
    <w:name w:val="Cuerpo del texto (12) + Negrita"/>
    <w:basedOn w:val="Cuerpodeltexto12"/>
    <w:rPr>
      <w:rFonts w:ascii="Arial" w:eastAsia="Arial" w:hAnsi="Arial" w:cs="Arial"/>
      <w:b/>
      <w:bCs/>
      <w:i/>
      <w:iCs/>
      <w:smallCaps w:val="0"/>
      <w:strike w:val="0"/>
      <w:color w:val="000000"/>
      <w:spacing w:val="0"/>
      <w:w w:val="100"/>
      <w:position w:val="0"/>
      <w:sz w:val="19"/>
      <w:szCs w:val="19"/>
      <w:u w:val="single"/>
      <w:lang w:val="es-ES" w:eastAsia="es-ES" w:bidi="es-ES"/>
    </w:rPr>
  </w:style>
  <w:style w:type="character" w:customStyle="1" w:styleId="Cuerpodeltexto12Negrita0">
    <w:name w:val="Cuerpo del texto (12) + Negrita"/>
    <w:basedOn w:val="Cuerpodeltexto12"/>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bCs/>
      <w:i/>
      <w:iCs/>
      <w:smallCaps w:val="0"/>
      <w:strike w:val="0"/>
      <w:sz w:val="19"/>
      <w:szCs w:val="19"/>
      <w:u w:val="none"/>
    </w:rPr>
  </w:style>
  <w:style w:type="character" w:customStyle="1" w:styleId="Cuerpodeltexto4Sinnegrita">
    <w:name w:val="Cuerpo del texto (4) + Sin negrita"/>
    <w:basedOn w:val="Cuerpodeltexto4"/>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41">
    <w:name w:val="Cuerpo del texto (4)"/>
    <w:basedOn w:val="Cuerpodeltexto4"/>
    <w:rPr>
      <w:rFonts w:ascii="Arial" w:eastAsia="Arial" w:hAnsi="Arial" w:cs="Arial"/>
      <w:b/>
      <w:bCs/>
      <w:i/>
      <w:iCs/>
      <w:smallCaps w:val="0"/>
      <w:strike w:val="0"/>
      <w:color w:val="000000"/>
      <w:spacing w:val="0"/>
      <w:w w:val="100"/>
      <w:position w:val="0"/>
      <w:sz w:val="19"/>
      <w:szCs w:val="19"/>
      <w:u w:val="singl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10"/>
      <w:szCs w:val="10"/>
      <w:u w:val="none"/>
    </w:rPr>
  </w:style>
  <w:style w:type="character" w:customStyle="1" w:styleId="Cuerpodeltexto56ptoCursiva">
    <w:name w:val="Cuerpo del texto (5) + 6 pto;Cursiva"/>
    <w:basedOn w:val="Cuerpodeltexto5"/>
    <w:rPr>
      <w:rFonts w:ascii="Arial" w:eastAsia="Arial" w:hAnsi="Arial" w:cs="Arial"/>
      <w:b w:val="0"/>
      <w:bCs w:val="0"/>
      <w:i/>
      <w:iCs/>
      <w:smallCaps w:val="0"/>
      <w:strike w:val="0"/>
      <w:color w:val="000000"/>
      <w:spacing w:val="0"/>
      <w:w w:val="100"/>
      <w:position w:val="0"/>
      <w:sz w:val="12"/>
      <w:szCs w:val="12"/>
      <w:u w:val="none"/>
      <w:lang w:val="es-ES" w:eastAsia="es-ES" w:bidi="es-ES"/>
    </w:rPr>
  </w:style>
  <w:style w:type="character" w:customStyle="1" w:styleId="Cuerpodeltexto14">
    <w:name w:val="Cuerpo del texto (14)_"/>
    <w:basedOn w:val="Fuentedeprrafopredeter"/>
    <w:link w:val="Cuerpodeltexto14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line="0" w:lineRule="atLeast"/>
      <w:ind w:hanging="460"/>
      <w:jc w:val="both"/>
    </w:pPr>
    <w:rPr>
      <w:rFonts w:ascii="Arial" w:eastAsia="Arial" w:hAnsi="Arial" w:cs="Arial"/>
      <w:sz w:val="19"/>
      <w:szCs w:val="19"/>
    </w:rPr>
  </w:style>
  <w:style w:type="paragraph" w:customStyle="1" w:styleId="Encabezamientoopiedepgina170">
    <w:name w:val="Encabezamiento o pie de página (17)"/>
    <w:basedOn w:val="Normal"/>
    <w:link w:val="Encabezamientoopiedepgina17"/>
    <w:pPr>
      <w:shd w:val="clear" w:color="auto" w:fill="FFFFFF"/>
      <w:spacing w:line="0" w:lineRule="atLeast"/>
      <w:jc w:val="both"/>
    </w:pPr>
    <w:rPr>
      <w:rFonts w:ascii="Arial" w:eastAsia="Arial" w:hAnsi="Arial" w:cs="Arial"/>
      <w:sz w:val="22"/>
      <w:szCs w:val="22"/>
    </w:rPr>
  </w:style>
  <w:style w:type="paragraph" w:customStyle="1" w:styleId="Cuerpodeltexto120">
    <w:name w:val="Cuerpo del texto (12)"/>
    <w:basedOn w:val="Normal"/>
    <w:link w:val="Cuerpodeltexto12"/>
    <w:pPr>
      <w:shd w:val="clear" w:color="auto" w:fill="FFFFFF"/>
      <w:spacing w:line="230" w:lineRule="exact"/>
      <w:ind w:hanging="320"/>
      <w:jc w:val="both"/>
    </w:pPr>
    <w:rPr>
      <w:rFonts w:ascii="Arial" w:eastAsia="Arial" w:hAnsi="Arial" w:cs="Arial"/>
      <w:i/>
      <w:iCs/>
      <w:sz w:val="19"/>
      <w:szCs w:val="19"/>
    </w:rPr>
  </w:style>
  <w:style w:type="paragraph" w:customStyle="1" w:styleId="Cuerpodeltexto40">
    <w:name w:val="Cuerpo del texto (4)"/>
    <w:basedOn w:val="Normal"/>
    <w:link w:val="Cuerpodeltexto4"/>
    <w:pPr>
      <w:shd w:val="clear" w:color="auto" w:fill="FFFFFF"/>
      <w:spacing w:before="240" w:after="240" w:line="230" w:lineRule="exact"/>
    </w:pPr>
    <w:rPr>
      <w:rFonts w:ascii="Arial" w:eastAsia="Arial" w:hAnsi="Arial" w:cs="Arial"/>
      <w:b/>
      <w:bCs/>
      <w:i/>
      <w:iCs/>
      <w:sz w:val="19"/>
      <w:szCs w:val="19"/>
    </w:rPr>
  </w:style>
  <w:style w:type="paragraph" w:customStyle="1" w:styleId="Cuerpodeltexto50">
    <w:name w:val="Cuerpo del texto (5)"/>
    <w:basedOn w:val="Normal"/>
    <w:link w:val="Cuerpodeltexto5"/>
    <w:pPr>
      <w:shd w:val="clear" w:color="auto" w:fill="FFFFFF"/>
      <w:spacing w:before="660" w:line="0" w:lineRule="atLeast"/>
      <w:jc w:val="both"/>
    </w:pPr>
    <w:rPr>
      <w:rFonts w:ascii="Arial" w:eastAsia="Arial" w:hAnsi="Arial" w:cs="Arial"/>
      <w:sz w:val="10"/>
      <w:szCs w:val="10"/>
    </w:rPr>
  </w:style>
  <w:style w:type="paragraph" w:customStyle="1" w:styleId="Cuerpodeltexto140">
    <w:name w:val="Cuerpo del texto (14)"/>
    <w:basedOn w:val="Normal"/>
    <w:link w:val="Cuerpodeltexto14"/>
    <w:pPr>
      <w:shd w:val="clear" w:color="auto" w:fill="FFFFFF"/>
      <w:spacing w:before="240" w:after="240" w:line="0" w:lineRule="atLeast"/>
      <w:ind w:hanging="340"/>
      <w:jc w:val="both"/>
    </w:pPr>
    <w:rPr>
      <w:rFonts w:ascii="Arial" w:eastAsia="Arial" w:hAnsi="Arial" w:cs="Arial"/>
      <w:b/>
      <w:bCs/>
      <w:sz w:val="19"/>
      <w:szCs w:val="19"/>
    </w:rPr>
  </w:style>
  <w:style w:type="paragraph" w:styleId="Sinespaciado">
    <w:name w:val="No Spacing"/>
    <w:uiPriority w:val="1"/>
    <w:qFormat/>
    <w:rsid w:val="003237DE"/>
    <w:rPr>
      <w:color w:val="000000"/>
    </w:rPr>
  </w:style>
  <w:style w:type="paragraph" w:styleId="Encabezado">
    <w:name w:val="header"/>
    <w:basedOn w:val="Normal"/>
    <w:link w:val="EncabezadoCar"/>
    <w:uiPriority w:val="99"/>
    <w:unhideWhenUsed/>
    <w:rsid w:val="003237DE"/>
    <w:pPr>
      <w:tabs>
        <w:tab w:val="center" w:pos="4419"/>
        <w:tab w:val="right" w:pos="8838"/>
      </w:tabs>
    </w:pPr>
  </w:style>
  <w:style w:type="character" w:customStyle="1" w:styleId="EncabezadoCar">
    <w:name w:val="Encabezado Car"/>
    <w:basedOn w:val="Fuentedeprrafopredeter"/>
    <w:link w:val="Encabezado"/>
    <w:uiPriority w:val="99"/>
    <w:rsid w:val="003237DE"/>
    <w:rPr>
      <w:color w:val="000000"/>
    </w:rPr>
  </w:style>
  <w:style w:type="paragraph" w:styleId="Piedepgina">
    <w:name w:val="footer"/>
    <w:basedOn w:val="Normal"/>
    <w:link w:val="PiedepginaCar"/>
    <w:uiPriority w:val="99"/>
    <w:unhideWhenUsed/>
    <w:rsid w:val="003237DE"/>
    <w:pPr>
      <w:tabs>
        <w:tab w:val="center" w:pos="4419"/>
        <w:tab w:val="right" w:pos="8838"/>
      </w:tabs>
    </w:pPr>
  </w:style>
  <w:style w:type="character" w:customStyle="1" w:styleId="PiedepginaCar">
    <w:name w:val="Pie de página Car"/>
    <w:basedOn w:val="Fuentedeprrafopredeter"/>
    <w:link w:val="Piedepgina"/>
    <w:uiPriority w:val="99"/>
    <w:rsid w:val="003237DE"/>
    <w:rPr>
      <w:color w:val="000000"/>
    </w:rPr>
  </w:style>
  <w:style w:type="character" w:styleId="Mencinsinresolver">
    <w:name w:val="Unresolved Mention"/>
    <w:basedOn w:val="Fuentedeprrafopredeter"/>
    <w:uiPriority w:val="99"/>
    <w:semiHidden/>
    <w:unhideWhenUsed/>
    <w:rsid w:val="0032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5099</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Microsoft Office User</cp:lastModifiedBy>
  <cp:revision>2</cp:revision>
  <dcterms:created xsi:type="dcterms:W3CDTF">2021-01-22T16:13:00Z</dcterms:created>
  <dcterms:modified xsi:type="dcterms:W3CDTF">2021-01-22T16:13:00Z</dcterms:modified>
</cp:coreProperties>
</file>