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8F55" w14:textId="4D53757D" w:rsidR="008D0AAD" w:rsidRPr="00111C6B" w:rsidRDefault="00111C6B" w:rsidP="00111C6B">
      <w:pPr>
        <w:pStyle w:val="Sinespaciado"/>
        <w:jc w:val="both"/>
        <w:rPr>
          <w:rFonts w:ascii="Verdana" w:hAnsi="Verdana"/>
          <w:b/>
          <w:bCs/>
        </w:rPr>
      </w:pPr>
      <w:bookmarkStart w:id="0" w:name="_GoBack"/>
      <w:bookmarkEnd w:id="0"/>
      <w:r w:rsidRPr="00111C6B">
        <w:rPr>
          <w:rFonts w:ascii="Verdana" w:hAnsi="Verdana"/>
          <w:b/>
          <w:bCs/>
        </w:rPr>
        <w:t>COMUNICADO DE PRENSA DEL 20 DE MAYO DE 2021</w:t>
      </w:r>
    </w:p>
    <w:p w14:paraId="15CF2DC8" w14:textId="5AF0403B" w:rsidR="00111C6B" w:rsidRPr="00111C6B" w:rsidRDefault="00111C6B" w:rsidP="00111C6B">
      <w:pPr>
        <w:pStyle w:val="Sinespaciado"/>
        <w:jc w:val="both"/>
        <w:rPr>
          <w:rFonts w:ascii="Verdana" w:hAnsi="Verdana"/>
          <w:b/>
          <w:bCs/>
        </w:rPr>
      </w:pPr>
      <w:r w:rsidRPr="00111C6B">
        <w:rPr>
          <w:rFonts w:ascii="Verdana" w:hAnsi="Verdana"/>
          <w:b/>
          <w:bCs/>
        </w:rPr>
        <w:t>SECRETARÍA DISTRITAL DE HACIENDA</w:t>
      </w:r>
    </w:p>
    <w:p w14:paraId="36A65FD5" w14:textId="77777777" w:rsidR="008D0AAD" w:rsidRPr="00111C6B" w:rsidRDefault="008D0AAD" w:rsidP="00111C6B">
      <w:pPr>
        <w:pStyle w:val="Sinespaciado"/>
        <w:jc w:val="both"/>
        <w:rPr>
          <w:rFonts w:ascii="Verdana" w:hAnsi="Verdana"/>
        </w:rPr>
      </w:pPr>
    </w:p>
    <w:p w14:paraId="27B751D0" w14:textId="3E6A664C" w:rsidR="008D0AAD" w:rsidRPr="00111C6B" w:rsidRDefault="00111C6B" w:rsidP="00111C6B">
      <w:pPr>
        <w:pStyle w:val="Sinespaciado"/>
        <w:jc w:val="both"/>
        <w:rPr>
          <w:rFonts w:ascii="Verdana" w:hAnsi="Verdana"/>
        </w:rPr>
      </w:pPr>
      <w:r>
        <w:rPr>
          <w:rFonts w:ascii="Verdana" w:hAnsi="Verdana"/>
        </w:rPr>
        <w:t>Bogotá, D.C.</w:t>
      </w:r>
    </w:p>
    <w:p w14:paraId="3ECA4D76" w14:textId="77777777" w:rsidR="008D0AAD" w:rsidRPr="00111C6B" w:rsidRDefault="008D0AAD" w:rsidP="00111C6B">
      <w:pPr>
        <w:pStyle w:val="Sinespaciado"/>
        <w:jc w:val="both"/>
        <w:rPr>
          <w:rFonts w:ascii="Verdana" w:hAnsi="Verdana"/>
        </w:rPr>
      </w:pPr>
    </w:p>
    <w:p w14:paraId="12DE7783" w14:textId="12E356B1" w:rsidR="008D0AAD" w:rsidRDefault="00390665" w:rsidP="00111C6B">
      <w:pPr>
        <w:pStyle w:val="Sinespaciado"/>
        <w:jc w:val="both"/>
        <w:rPr>
          <w:rFonts w:ascii="Verdana" w:hAnsi="Verdana"/>
          <w:b/>
          <w:bCs/>
        </w:rPr>
      </w:pPr>
      <w:r w:rsidRPr="00111C6B">
        <w:rPr>
          <w:rFonts w:ascii="Verdana" w:hAnsi="Verdana"/>
          <w:b/>
          <w:bCs/>
        </w:rPr>
        <w:t>El 31 de mayo vence plazo para optar al pago por cuotas del impuesto Predial</w:t>
      </w:r>
    </w:p>
    <w:p w14:paraId="3681790D" w14:textId="200DBCC5" w:rsidR="00111C6B" w:rsidRDefault="00111C6B" w:rsidP="00111C6B">
      <w:pPr>
        <w:pStyle w:val="Sinespaciado"/>
        <w:jc w:val="both"/>
        <w:rPr>
          <w:rFonts w:ascii="Verdana" w:hAnsi="Verdana"/>
          <w:b/>
          <w:bCs/>
        </w:rPr>
      </w:pPr>
    </w:p>
    <w:p w14:paraId="4A0F8B43" w14:textId="3CA9005C" w:rsidR="00111C6B" w:rsidRDefault="00111C6B" w:rsidP="00111C6B">
      <w:pPr>
        <w:pStyle w:val="Sinespaciado"/>
        <w:jc w:val="center"/>
        <w:rPr>
          <w:rFonts w:ascii="Verdana" w:hAnsi="Verdana"/>
          <w:b/>
          <w:bCs/>
        </w:rPr>
      </w:pPr>
      <w:r>
        <w:rPr>
          <w:noProof/>
        </w:rPr>
        <w:drawing>
          <wp:inline distT="0" distB="0" distL="0" distR="0" wp14:anchorId="097828DD" wp14:editId="2FB13773">
            <wp:extent cx="5971540" cy="2461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1540" cy="2461895"/>
                    </a:xfrm>
                    <a:prstGeom prst="rect">
                      <a:avLst/>
                    </a:prstGeom>
                  </pic:spPr>
                </pic:pic>
              </a:graphicData>
            </a:graphic>
          </wp:inline>
        </w:drawing>
      </w:r>
    </w:p>
    <w:p w14:paraId="7F55B2DC" w14:textId="77777777" w:rsidR="00111C6B" w:rsidRDefault="00390665" w:rsidP="00111C6B">
      <w:pPr>
        <w:pStyle w:val="Sinespaciado"/>
        <w:numPr>
          <w:ilvl w:val="0"/>
          <w:numId w:val="1"/>
        </w:numPr>
        <w:jc w:val="both"/>
        <w:rPr>
          <w:rFonts w:ascii="Verdana" w:hAnsi="Verdana"/>
        </w:rPr>
      </w:pPr>
      <w:r w:rsidRPr="00111C6B">
        <w:rPr>
          <w:rFonts w:ascii="Verdana" w:hAnsi="Verdana"/>
        </w:rPr>
        <w:t>El beneficio aplica para predios residenciales y no residenciales, e incluye entre estos últimos una nueva categoría para sectores económicos afectados por la emergencia COVID, como hoteles, restaurantes y bares, entre otros.</w:t>
      </w:r>
    </w:p>
    <w:p w14:paraId="0505C6A7" w14:textId="77777777" w:rsidR="00111C6B" w:rsidRDefault="00111C6B" w:rsidP="00111C6B">
      <w:pPr>
        <w:pStyle w:val="Sinespaciado"/>
        <w:ind w:left="720"/>
        <w:jc w:val="both"/>
        <w:rPr>
          <w:rFonts w:ascii="Verdana" w:hAnsi="Verdana"/>
        </w:rPr>
      </w:pPr>
    </w:p>
    <w:p w14:paraId="1C54126F" w14:textId="66FFF924" w:rsidR="008D0AAD" w:rsidRPr="00111C6B" w:rsidRDefault="00390665" w:rsidP="00111C6B">
      <w:pPr>
        <w:pStyle w:val="Sinespaciado"/>
        <w:numPr>
          <w:ilvl w:val="0"/>
          <w:numId w:val="1"/>
        </w:numPr>
        <w:jc w:val="both"/>
        <w:rPr>
          <w:rFonts w:ascii="Verdana" w:hAnsi="Verdana"/>
        </w:rPr>
      </w:pPr>
      <w:r w:rsidRPr="00111C6B">
        <w:rPr>
          <w:rFonts w:ascii="Verdana" w:hAnsi="Verdana"/>
        </w:rPr>
        <w:t>Los propietarios interesados en estas alternativas deberán presentar su declaración inicial a más tardar el lunes 31 de mayo, para diferir su impuesto en cuatro cuotas iguales sin intereses.</w:t>
      </w:r>
    </w:p>
    <w:p w14:paraId="013BB80E" w14:textId="77777777" w:rsidR="00111C6B" w:rsidRDefault="00111C6B" w:rsidP="00111C6B">
      <w:pPr>
        <w:pStyle w:val="Sinespaciado"/>
        <w:jc w:val="both"/>
        <w:rPr>
          <w:rFonts w:ascii="Verdana" w:hAnsi="Verdana"/>
        </w:rPr>
      </w:pPr>
    </w:p>
    <w:p w14:paraId="6053E831" w14:textId="49A2AFB6" w:rsidR="008D0AAD" w:rsidRPr="00111C6B" w:rsidRDefault="00390665" w:rsidP="00111C6B">
      <w:pPr>
        <w:pStyle w:val="Sinespaciado"/>
        <w:jc w:val="both"/>
        <w:rPr>
          <w:rFonts w:ascii="Verdana" w:hAnsi="Verdana"/>
          <w:b/>
          <w:bCs/>
        </w:rPr>
      </w:pPr>
      <w:r w:rsidRPr="00111C6B">
        <w:rPr>
          <w:rFonts w:ascii="Verdana" w:hAnsi="Verdana"/>
          <w:b/>
          <w:bCs/>
        </w:rPr>
        <w:t>Bogotá, mayo 20 de 2021</w:t>
      </w:r>
    </w:p>
    <w:p w14:paraId="795210CD" w14:textId="77777777" w:rsidR="00111C6B" w:rsidRDefault="00111C6B" w:rsidP="00111C6B">
      <w:pPr>
        <w:pStyle w:val="Sinespaciado"/>
        <w:jc w:val="both"/>
        <w:rPr>
          <w:rFonts w:ascii="Verdana" w:hAnsi="Verdana"/>
        </w:rPr>
      </w:pPr>
    </w:p>
    <w:p w14:paraId="0DFF7EAA" w14:textId="6B10A9E1" w:rsidR="008D0AAD" w:rsidRPr="00111C6B" w:rsidRDefault="00390665" w:rsidP="00111C6B">
      <w:pPr>
        <w:pStyle w:val="Sinespaciado"/>
        <w:jc w:val="both"/>
        <w:rPr>
          <w:rFonts w:ascii="Verdana" w:hAnsi="Verdana"/>
        </w:rPr>
      </w:pPr>
      <w:r w:rsidRPr="00111C6B">
        <w:rPr>
          <w:rFonts w:ascii="Verdana" w:hAnsi="Verdana"/>
        </w:rPr>
        <w:t>Quedan pocos días para poder acogerse al Sistema de Pago Alternativo por Cuotas (SPAC) del impuesto Predial, un beneficio que solo podrán obtener los propietarios de predios que presenten su declaración este mes, a más tardar el 31 de mayo, en la Oficina Virtual de la Secretaría Distrital de Hacienda.</w:t>
      </w:r>
    </w:p>
    <w:p w14:paraId="3CA8BCD7" w14:textId="77777777" w:rsidR="00111C6B" w:rsidRDefault="00111C6B" w:rsidP="00111C6B">
      <w:pPr>
        <w:pStyle w:val="Sinespaciado"/>
        <w:jc w:val="both"/>
        <w:rPr>
          <w:rFonts w:ascii="Verdana" w:hAnsi="Verdana"/>
        </w:rPr>
      </w:pPr>
    </w:p>
    <w:p w14:paraId="1DAAF196" w14:textId="205595FF" w:rsidR="008D0AAD" w:rsidRPr="00111C6B" w:rsidRDefault="00390665" w:rsidP="00111C6B">
      <w:pPr>
        <w:pStyle w:val="Sinespaciado"/>
        <w:jc w:val="both"/>
        <w:rPr>
          <w:rFonts w:ascii="Verdana" w:hAnsi="Verdana"/>
        </w:rPr>
      </w:pPr>
      <w:r w:rsidRPr="00111C6B">
        <w:rPr>
          <w:rFonts w:ascii="Verdana" w:hAnsi="Verdana"/>
        </w:rPr>
        <w:t xml:space="preserve">Este año el beneficio sigue cobijando a los predios residenciales y no residenciales, sean personas naturales o jurídicas, pero además </w:t>
      </w:r>
      <w:r w:rsidR="00111C6B">
        <w:rPr>
          <w:rFonts w:ascii="Verdana" w:hAnsi="Verdana"/>
        </w:rPr>
        <w:t>i</w:t>
      </w:r>
      <w:r w:rsidRPr="00111C6B">
        <w:rPr>
          <w:rFonts w:ascii="Verdana" w:hAnsi="Verdana"/>
        </w:rPr>
        <w:t xml:space="preserve">ncluye una opción exclusiva para los propietarios de predios no residenciales afectados por las medidas decretadas para afrontar la pandemia del COVID-19, quienes deberán acogerse también en esta fecha, pero empezarán a pagar el </w:t>
      </w:r>
      <w:r w:rsidRPr="00111C6B">
        <w:rPr>
          <w:rFonts w:ascii="Verdana" w:hAnsi="Verdana"/>
        </w:rPr>
        <w:lastRenderedPageBreak/>
        <w:t>año entrante.</w:t>
      </w:r>
    </w:p>
    <w:p w14:paraId="4AFA6CA0" w14:textId="77777777" w:rsidR="00111C6B" w:rsidRDefault="00111C6B" w:rsidP="00111C6B">
      <w:pPr>
        <w:pStyle w:val="Sinespaciado"/>
        <w:jc w:val="both"/>
        <w:rPr>
          <w:rFonts w:ascii="Verdana" w:hAnsi="Verdana"/>
        </w:rPr>
      </w:pPr>
    </w:p>
    <w:p w14:paraId="4202D950" w14:textId="0E681BAD" w:rsidR="008D0AAD" w:rsidRPr="00111C6B" w:rsidRDefault="00390665" w:rsidP="00111C6B">
      <w:pPr>
        <w:pStyle w:val="Sinespaciado"/>
        <w:jc w:val="both"/>
        <w:rPr>
          <w:rFonts w:ascii="Verdana" w:hAnsi="Verdana"/>
        </w:rPr>
      </w:pPr>
      <w:r w:rsidRPr="00111C6B">
        <w:rPr>
          <w:rFonts w:ascii="Verdana" w:hAnsi="Verdana"/>
        </w:rPr>
        <w:t>“Invitamos a los contribuyentes para que no dejen pasar esta oportunidad que les brinda la Administración de mejorar su flujo de caja, consciente de la mayor necesidad que tienen en estos momentos los dueños de predios no residenciales cuya operación ha estado restringida por causa de la pandemia, como por ejemplo, aquellos donde funcionan hoteles, restaurantes, bares, oficinas y locales comerciales, entre muchos otros”, explica el Secretario de Hacienda, Juan Mauricio Ramírez.</w:t>
      </w:r>
    </w:p>
    <w:p w14:paraId="44AC57FA" w14:textId="77777777" w:rsidR="00111C6B" w:rsidRDefault="00111C6B" w:rsidP="00111C6B">
      <w:pPr>
        <w:pStyle w:val="Sinespaciado"/>
        <w:jc w:val="both"/>
        <w:rPr>
          <w:rFonts w:ascii="Verdana" w:hAnsi="Verdana"/>
        </w:rPr>
      </w:pPr>
    </w:p>
    <w:p w14:paraId="0257B965" w14:textId="06D54D2E" w:rsidR="008D0AAD" w:rsidRPr="00111C6B" w:rsidRDefault="00390665" w:rsidP="00111C6B">
      <w:pPr>
        <w:pStyle w:val="Sinespaciado"/>
        <w:jc w:val="both"/>
        <w:rPr>
          <w:rFonts w:ascii="Verdana" w:hAnsi="Verdana"/>
        </w:rPr>
      </w:pPr>
      <w:r w:rsidRPr="00111C6B">
        <w:rPr>
          <w:rFonts w:ascii="Verdana" w:hAnsi="Verdana"/>
        </w:rPr>
        <w:t xml:space="preserve">A la fecha, a menos de dos semanas de vencerse el plazo para acogerse al SPAC, el Distrito registra en ambas modalidades la </w:t>
      </w:r>
      <w:r w:rsidR="00111C6B">
        <w:rPr>
          <w:rFonts w:ascii="Verdana" w:hAnsi="Verdana"/>
        </w:rPr>
        <w:t>i</w:t>
      </w:r>
      <w:r w:rsidRPr="00111C6B">
        <w:rPr>
          <w:rFonts w:ascii="Verdana" w:hAnsi="Verdana"/>
        </w:rPr>
        <w:t>nscripción de alrededor de 16.000 predios, frente a los 64.000 Inscritos que pagaron por cuotas su Predial el año pasado.</w:t>
      </w:r>
    </w:p>
    <w:p w14:paraId="23EF51CB" w14:textId="77777777" w:rsidR="00111C6B" w:rsidRDefault="00111C6B" w:rsidP="00111C6B">
      <w:pPr>
        <w:pStyle w:val="Sinespaciado"/>
        <w:jc w:val="both"/>
        <w:rPr>
          <w:rFonts w:ascii="Verdana" w:hAnsi="Verdana"/>
        </w:rPr>
      </w:pPr>
    </w:p>
    <w:p w14:paraId="7A6FF74F" w14:textId="37437EE7" w:rsidR="008D0AAD" w:rsidRPr="00111C6B" w:rsidRDefault="00390665" w:rsidP="00111C6B">
      <w:pPr>
        <w:pStyle w:val="Sinespaciado"/>
        <w:jc w:val="both"/>
        <w:rPr>
          <w:rFonts w:ascii="Verdana" w:hAnsi="Verdana"/>
        </w:rPr>
      </w:pPr>
      <w:r w:rsidRPr="00111C6B">
        <w:rPr>
          <w:rFonts w:ascii="Verdana" w:hAnsi="Verdana"/>
        </w:rPr>
        <w:t xml:space="preserve">Para quienes se </w:t>
      </w:r>
      <w:r w:rsidR="00111C6B">
        <w:rPr>
          <w:rFonts w:ascii="Verdana" w:hAnsi="Verdana"/>
        </w:rPr>
        <w:t>i</w:t>
      </w:r>
      <w:r w:rsidRPr="00111C6B">
        <w:rPr>
          <w:rFonts w:ascii="Verdana" w:hAnsi="Verdana"/>
        </w:rPr>
        <w:t xml:space="preserve">nscriban al </w:t>
      </w:r>
      <w:r w:rsidRPr="00111C6B">
        <w:rPr>
          <w:rFonts w:ascii="Verdana" w:hAnsi="Verdana"/>
          <w:b/>
          <w:bCs/>
        </w:rPr>
        <w:t>SPAC tradicional</w:t>
      </w:r>
      <w:r w:rsidRPr="00111C6B">
        <w:rPr>
          <w:rFonts w:ascii="Verdana" w:hAnsi="Verdana"/>
        </w:rPr>
        <w:t xml:space="preserve">, que aplica </w:t>
      </w:r>
      <w:r w:rsidRPr="00111C6B">
        <w:rPr>
          <w:rFonts w:ascii="Verdana" w:hAnsi="Verdana"/>
          <w:b/>
          <w:bCs/>
        </w:rPr>
        <w:t>por igual</w:t>
      </w:r>
      <w:r w:rsidRPr="00111C6B">
        <w:rPr>
          <w:rFonts w:ascii="Verdana" w:hAnsi="Verdana"/>
        </w:rPr>
        <w:t xml:space="preserve"> para </w:t>
      </w:r>
      <w:r w:rsidRPr="00111C6B">
        <w:rPr>
          <w:rFonts w:ascii="Verdana" w:hAnsi="Verdana"/>
          <w:b/>
          <w:bCs/>
        </w:rPr>
        <w:t>predios residenciales</w:t>
      </w:r>
      <w:r w:rsidRPr="00111C6B">
        <w:rPr>
          <w:rFonts w:ascii="Verdana" w:hAnsi="Verdana"/>
        </w:rPr>
        <w:t xml:space="preserve"> y </w:t>
      </w:r>
      <w:r w:rsidRPr="00111C6B">
        <w:rPr>
          <w:rFonts w:ascii="Verdana" w:hAnsi="Verdana"/>
          <w:b/>
          <w:bCs/>
        </w:rPr>
        <w:t>no residenciales</w:t>
      </w:r>
      <w:r w:rsidRPr="00111C6B">
        <w:rPr>
          <w:rFonts w:ascii="Verdana" w:hAnsi="Verdana"/>
        </w:rPr>
        <w:t>, estos son los plazos:</w:t>
      </w:r>
    </w:p>
    <w:p w14:paraId="401638A9" w14:textId="77777777" w:rsidR="00111C6B" w:rsidRDefault="00111C6B" w:rsidP="00111C6B">
      <w:pPr>
        <w:pStyle w:val="Sinespaciado"/>
        <w:jc w:val="both"/>
        <w:rPr>
          <w:rFonts w:ascii="Verdana" w:hAnsi="Verdana"/>
        </w:rPr>
      </w:pPr>
    </w:p>
    <w:p w14:paraId="378FA8BC" w14:textId="77777777" w:rsidR="00111C6B" w:rsidRDefault="00390665" w:rsidP="00111C6B">
      <w:pPr>
        <w:pStyle w:val="Sinespaciado"/>
        <w:numPr>
          <w:ilvl w:val="0"/>
          <w:numId w:val="2"/>
        </w:numPr>
        <w:jc w:val="both"/>
        <w:rPr>
          <w:rFonts w:ascii="Verdana" w:hAnsi="Verdana"/>
        </w:rPr>
      </w:pPr>
      <w:r w:rsidRPr="00111C6B">
        <w:rPr>
          <w:rFonts w:ascii="Verdana" w:hAnsi="Verdana"/>
          <w:b/>
          <w:bCs/>
        </w:rPr>
        <w:t>Primera Cuota</w:t>
      </w:r>
      <w:r w:rsidRPr="00111C6B">
        <w:rPr>
          <w:rFonts w:ascii="Verdana" w:hAnsi="Verdana"/>
        </w:rPr>
        <w:t xml:space="preserve"> Miércoles 30 de junio de 2021.</w:t>
      </w:r>
    </w:p>
    <w:p w14:paraId="193DDC82" w14:textId="77777777" w:rsidR="00111C6B" w:rsidRDefault="00390665" w:rsidP="00111C6B">
      <w:pPr>
        <w:pStyle w:val="Sinespaciado"/>
        <w:numPr>
          <w:ilvl w:val="0"/>
          <w:numId w:val="2"/>
        </w:numPr>
        <w:jc w:val="both"/>
        <w:rPr>
          <w:rFonts w:ascii="Verdana" w:hAnsi="Verdana"/>
        </w:rPr>
      </w:pPr>
      <w:r w:rsidRPr="00111C6B">
        <w:rPr>
          <w:rFonts w:ascii="Verdana" w:hAnsi="Verdana"/>
          <w:b/>
          <w:bCs/>
        </w:rPr>
        <w:t>Segunda Cuota</w:t>
      </w:r>
      <w:r w:rsidRPr="00111C6B">
        <w:rPr>
          <w:rFonts w:ascii="Verdana" w:hAnsi="Verdana"/>
        </w:rPr>
        <w:t xml:space="preserve"> Martes 31 de agosto de 2021.</w:t>
      </w:r>
    </w:p>
    <w:p w14:paraId="2C929C8B" w14:textId="77777777" w:rsidR="00111C6B" w:rsidRDefault="00390665" w:rsidP="00111C6B">
      <w:pPr>
        <w:pStyle w:val="Sinespaciado"/>
        <w:numPr>
          <w:ilvl w:val="0"/>
          <w:numId w:val="2"/>
        </w:numPr>
        <w:jc w:val="both"/>
        <w:rPr>
          <w:rFonts w:ascii="Verdana" w:hAnsi="Verdana"/>
        </w:rPr>
      </w:pPr>
      <w:r w:rsidRPr="00111C6B">
        <w:rPr>
          <w:rFonts w:ascii="Verdana" w:hAnsi="Verdana"/>
          <w:b/>
          <w:bCs/>
        </w:rPr>
        <w:t>Tercera Cuota</w:t>
      </w:r>
      <w:r w:rsidRPr="00111C6B">
        <w:rPr>
          <w:rFonts w:ascii="Verdana" w:hAnsi="Verdana"/>
        </w:rPr>
        <w:t xml:space="preserve"> Viernes 29 de octubre de 2021.</w:t>
      </w:r>
    </w:p>
    <w:p w14:paraId="0F1DC575" w14:textId="74278E7F" w:rsidR="008D0AAD" w:rsidRPr="00111C6B" w:rsidRDefault="00390665" w:rsidP="00111C6B">
      <w:pPr>
        <w:pStyle w:val="Sinespaciado"/>
        <w:numPr>
          <w:ilvl w:val="0"/>
          <w:numId w:val="2"/>
        </w:numPr>
        <w:jc w:val="both"/>
        <w:rPr>
          <w:rFonts w:ascii="Verdana" w:hAnsi="Verdana"/>
        </w:rPr>
      </w:pPr>
      <w:r w:rsidRPr="00111C6B">
        <w:rPr>
          <w:rFonts w:ascii="Verdana" w:hAnsi="Verdana"/>
          <w:b/>
          <w:bCs/>
        </w:rPr>
        <w:t>Cuarta Cuota</w:t>
      </w:r>
      <w:r w:rsidRPr="00111C6B">
        <w:rPr>
          <w:rFonts w:ascii="Verdana" w:hAnsi="Verdana"/>
        </w:rPr>
        <w:t xml:space="preserve"> Lunes 31 de enero de 2022.</w:t>
      </w:r>
    </w:p>
    <w:p w14:paraId="132B0CAE" w14:textId="77777777" w:rsidR="00111C6B" w:rsidRDefault="00111C6B" w:rsidP="00111C6B">
      <w:pPr>
        <w:pStyle w:val="Sinespaciado"/>
        <w:jc w:val="both"/>
        <w:rPr>
          <w:rFonts w:ascii="Verdana" w:hAnsi="Verdana"/>
        </w:rPr>
      </w:pPr>
    </w:p>
    <w:p w14:paraId="042CCBDC" w14:textId="0F8C4476" w:rsidR="008D0AAD" w:rsidRPr="00111C6B" w:rsidRDefault="00390665" w:rsidP="00111C6B">
      <w:pPr>
        <w:pStyle w:val="Sinespaciado"/>
        <w:jc w:val="both"/>
        <w:rPr>
          <w:rFonts w:ascii="Verdana" w:hAnsi="Verdana"/>
        </w:rPr>
      </w:pPr>
      <w:r w:rsidRPr="00111C6B">
        <w:rPr>
          <w:rFonts w:ascii="Verdana" w:hAnsi="Verdana"/>
        </w:rPr>
        <w:t xml:space="preserve">Por su parte, la distribución de los vencimientos para los contribuyentes inscritos al </w:t>
      </w:r>
      <w:r w:rsidRPr="00111C6B">
        <w:rPr>
          <w:rFonts w:ascii="Verdana" w:hAnsi="Verdana"/>
          <w:b/>
          <w:bCs/>
        </w:rPr>
        <w:t>‘Pago por Cuotas afectados COVID’</w:t>
      </w:r>
      <w:r w:rsidRPr="00111C6B">
        <w:rPr>
          <w:rFonts w:ascii="Verdana" w:hAnsi="Verdana"/>
        </w:rPr>
        <w:t xml:space="preserve">, que solo aplica para </w:t>
      </w:r>
      <w:r w:rsidRPr="00111C6B">
        <w:rPr>
          <w:rFonts w:ascii="Verdana" w:hAnsi="Verdana"/>
          <w:b/>
          <w:bCs/>
        </w:rPr>
        <w:t>predios no residenciales</w:t>
      </w:r>
      <w:r w:rsidRPr="00111C6B">
        <w:rPr>
          <w:rFonts w:ascii="Verdana" w:hAnsi="Verdana"/>
        </w:rPr>
        <w:t>, a excepción de lotes, depósitos y garajes, es la siguiente:</w:t>
      </w:r>
    </w:p>
    <w:p w14:paraId="0454B413" w14:textId="77777777" w:rsidR="00111C6B" w:rsidRDefault="00111C6B" w:rsidP="00111C6B">
      <w:pPr>
        <w:pStyle w:val="Sinespaciado"/>
        <w:jc w:val="both"/>
        <w:rPr>
          <w:rFonts w:ascii="Verdana" w:hAnsi="Verdana"/>
        </w:rPr>
      </w:pPr>
    </w:p>
    <w:p w14:paraId="2B9A6FFA" w14:textId="77777777" w:rsidR="00111C6B" w:rsidRDefault="00390665" w:rsidP="00111C6B">
      <w:pPr>
        <w:pStyle w:val="Sinespaciado"/>
        <w:numPr>
          <w:ilvl w:val="0"/>
          <w:numId w:val="3"/>
        </w:numPr>
        <w:jc w:val="both"/>
        <w:rPr>
          <w:rFonts w:ascii="Verdana" w:hAnsi="Verdana"/>
        </w:rPr>
      </w:pPr>
      <w:r w:rsidRPr="00111C6B">
        <w:rPr>
          <w:rFonts w:ascii="Verdana" w:hAnsi="Verdana"/>
          <w:b/>
          <w:bCs/>
        </w:rPr>
        <w:t>Primera Cuota</w:t>
      </w:r>
      <w:r w:rsidRPr="00111C6B">
        <w:rPr>
          <w:rFonts w:ascii="Verdana" w:hAnsi="Verdana"/>
        </w:rPr>
        <w:t xml:space="preserve"> Viernes 18 de febrero de 2022.</w:t>
      </w:r>
    </w:p>
    <w:p w14:paraId="5457CEF8" w14:textId="77777777" w:rsidR="00111C6B" w:rsidRDefault="00390665" w:rsidP="00111C6B">
      <w:pPr>
        <w:pStyle w:val="Sinespaciado"/>
        <w:numPr>
          <w:ilvl w:val="0"/>
          <w:numId w:val="3"/>
        </w:numPr>
        <w:jc w:val="both"/>
        <w:rPr>
          <w:rFonts w:ascii="Verdana" w:hAnsi="Verdana"/>
        </w:rPr>
      </w:pPr>
      <w:r w:rsidRPr="00111C6B">
        <w:rPr>
          <w:rFonts w:ascii="Verdana" w:hAnsi="Verdana"/>
          <w:b/>
          <w:bCs/>
        </w:rPr>
        <w:t>Segunda Cuota</w:t>
      </w:r>
      <w:r w:rsidRPr="00111C6B">
        <w:rPr>
          <w:rFonts w:ascii="Verdana" w:hAnsi="Verdana"/>
        </w:rPr>
        <w:t xml:space="preserve"> Lunes 25 de abril de 2022.</w:t>
      </w:r>
    </w:p>
    <w:p w14:paraId="615715C8" w14:textId="77777777" w:rsidR="00111C6B" w:rsidRDefault="00390665" w:rsidP="00111C6B">
      <w:pPr>
        <w:pStyle w:val="Sinespaciado"/>
        <w:numPr>
          <w:ilvl w:val="0"/>
          <w:numId w:val="3"/>
        </w:numPr>
        <w:jc w:val="both"/>
        <w:rPr>
          <w:rFonts w:ascii="Verdana" w:hAnsi="Verdana"/>
        </w:rPr>
      </w:pPr>
      <w:r w:rsidRPr="00111C6B">
        <w:rPr>
          <w:rFonts w:ascii="Verdana" w:hAnsi="Verdana"/>
          <w:b/>
          <w:bCs/>
        </w:rPr>
        <w:t>Tercera Cuota</w:t>
      </w:r>
      <w:r w:rsidRPr="00111C6B">
        <w:rPr>
          <w:rFonts w:ascii="Verdana" w:hAnsi="Verdana"/>
        </w:rPr>
        <w:t xml:space="preserve"> Viernes 17 de junio de 2022.</w:t>
      </w:r>
    </w:p>
    <w:p w14:paraId="50D40615" w14:textId="6B84D11C" w:rsidR="008D0AAD" w:rsidRPr="00111C6B" w:rsidRDefault="00390665" w:rsidP="00111C6B">
      <w:pPr>
        <w:pStyle w:val="Sinespaciado"/>
        <w:numPr>
          <w:ilvl w:val="0"/>
          <w:numId w:val="3"/>
        </w:numPr>
        <w:jc w:val="both"/>
        <w:rPr>
          <w:rFonts w:ascii="Verdana" w:hAnsi="Verdana"/>
        </w:rPr>
      </w:pPr>
      <w:r w:rsidRPr="00111C6B">
        <w:rPr>
          <w:rFonts w:ascii="Verdana" w:hAnsi="Verdana"/>
          <w:b/>
          <w:bCs/>
        </w:rPr>
        <w:t>Cuarta Cuota</w:t>
      </w:r>
      <w:r w:rsidRPr="00111C6B">
        <w:rPr>
          <w:rFonts w:ascii="Verdana" w:hAnsi="Verdana"/>
        </w:rPr>
        <w:t xml:space="preserve"> Viernes 26 de agosto de 2022.</w:t>
      </w:r>
    </w:p>
    <w:p w14:paraId="3AD3FD1E" w14:textId="77777777" w:rsidR="00111C6B" w:rsidRDefault="00111C6B" w:rsidP="00111C6B">
      <w:pPr>
        <w:pStyle w:val="Sinespaciado"/>
        <w:jc w:val="both"/>
        <w:rPr>
          <w:rFonts w:ascii="Verdana" w:hAnsi="Verdana"/>
        </w:rPr>
      </w:pPr>
    </w:p>
    <w:p w14:paraId="70FA21C7" w14:textId="01B947D6" w:rsidR="008D0AAD" w:rsidRPr="00111C6B" w:rsidRDefault="00390665" w:rsidP="00111C6B">
      <w:pPr>
        <w:pStyle w:val="Sinespaciado"/>
        <w:jc w:val="both"/>
        <w:rPr>
          <w:rFonts w:ascii="Verdana" w:hAnsi="Verdana"/>
        </w:rPr>
      </w:pPr>
      <w:r w:rsidRPr="00111C6B">
        <w:rPr>
          <w:rFonts w:ascii="Verdana" w:hAnsi="Verdana"/>
        </w:rPr>
        <w:t xml:space="preserve">La declaración inicial, requisito indispensable para acceder al beneficio, deberá ser presentada a través de la Oficina Virtual de la Secretaría de Hacienda, Ingresando en el plazo Indicado al portal web de la Entidad </w:t>
      </w:r>
      <w:r w:rsidRPr="00111C6B">
        <w:rPr>
          <w:rFonts w:ascii="Verdana" w:hAnsi="Verdana"/>
          <w:lang w:val="en-US" w:eastAsia="en-US" w:bidi="en-US"/>
        </w:rPr>
        <w:t xml:space="preserve">(www.shd.gov.co (http://www.shd.gov.co)) </w:t>
      </w:r>
      <w:r w:rsidRPr="00111C6B">
        <w:rPr>
          <w:rFonts w:ascii="Verdana" w:hAnsi="Verdana"/>
        </w:rPr>
        <w:t>y seleccionando la opción correspondiente al SPAC elegido.</w:t>
      </w:r>
    </w:p>
    <w:sectPr w:rsidR="008D0AAD" w:rsidRPr="00111C6B" w:rsidSect="00111C6B">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AF90" w14:textId="77777777" w:rsidR="00200BD7" w:rsidRDefault="00200BD7">
      <w:r>
        <w:separator/>
      </w:r>
    </w:p>
  </w:endnote>
  <w:endnote w:type="continuationSeparator" w:id="0">
    <w:p w14:paraId="689144F8" w14:textId="77777777" w:rsidR="00200BD7" w:rsidRDefault="0020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36C0" w14:textId="77777777" w:rsidR="00200BD7" w:rsidRDefault="00200BD7"/>
  </w:footnote>
  <w:footnote w:type="continuationSeparator" w:id="0">
    <w:p w14:paraId="7FCB8B28" w14:textId="77777777" w:rsidR="00200BD7" w:rsidRDefault="00200B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0D3"/>
    <w:multiLevelType w:val="hybridMultilevel"/>
    <w:tmpl w:val="093825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8C7C71"/>
    <w:multiLevelType w:val="hybridMultilevel"/>
    <w:tmpl w:val="99DE86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A47C91"/>
    <w:multiLevelType w:val="hybridMultilevel"/>
    <w:tmpl w:val="49049C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AD"/>
    <w:rsid w:val="00111C6B"/>
    <w:rsid w:val="00200BD7"/>
    <w:rsid w:val="00390665"/>
    <w:rsid w:val="00814D6C"/>
    <w:rsid w:val="008D0A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1F6F"/>
  <w15:docId w15:val="{DF3C73A7-1341-40B8-9B32-86B0127B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7">
    <w:name w:val="Cuerpo del texto (27)_"/>
    <w:basedOn w:val="Fuentedeprrafopredeter"/>
    <w:link w:val="Cuerpodeltexto270"/>
    <w:rPr>
      <w:b w:val="0"/>
      <w:bCs w:val="0"/>
      <w:i w:val="0"/>
      <w:iCs w:val="0"/>
      <w:smallCaps w:val="0"/>
      <w:strike w:val="0"/>
      <w:sz w:val="28"/>
      <w:szCs w:val="28"/>
      <w:u w:val="none"/>
    </w:rPr>
  </w:style>
  <w:style w:type="character" w:customStyle="1" w:styleId="Cuerpodeltexto28">
    <w:name w:val="Cuerpo del texto (28)_"/>
    <w:basedOn w:val="Fuentedeprrafopredeter"/>
    <w:link w:val="Cuerpodeltexto280"/>
    <w:rPr>
      <w:b w:val="0"/>
      <w:bCs w:val="0"/>
      <w:i w:val="0"/>
      <w:iCs w:val="0"/>
      <w:smallCaps w:val="0"/>
      <w:strike w:val="0"/>
      <w:sz w:val="22"/>
      <w:szCs w:val="22"/>
      <w:u w:val="none"/>
    </w:rPr>
  </w:style>
  <w:style w:type="character" w:customStyle="1" w:styleId="Cuerpodeltexto29">
    <w:name w:val="Cuerpo del texto (29)_"/>
    <w:basedOn w:val="Fuentedeprrafopredeter"/>
    <w:link w:val="Cuerpodeltexto290"/>
    <w:rPr>
      <w:b w:val="0"/>
      <w:bCs w:val="0"/>
      <w:i w:val="0"/>
      <w:iCs w:val="0"/>
      <w:smallCaps w:val="0"/>
      <w:strike w:val="0"/>
      <w:spacing w:val="0"/>
      <w:sz w:val="18"/>
      <w:szCs w:val="18"/>
      <w:u w:val="none"/>
    </w:rPr>
  </w:style>
  <w:style w:type="paragraph" w:customStyle="1" w:styleId="Cuerpodeltexto270">
    <w:name w:val="Cuerpo del texto (27)"/>
    <w:basedOn w:val="Normal"/>
    <w:link w:val="Cuerpodeltexto27"/>
    <w:pPr>
      <w:shd w:val="clear" w:color="auto" w:fill="FFFFFF"/>
      <w:spacing w:line="0" w:lineRule="atLeast"/>
    </w:pPr>
    <w:rPr>
      <w:sz w:val="28"/>
      <w:szCs w:val="28"/>
    </w:rPr>
  </w:style>
  <w:style w:type="paragraph" w:customStyle="1" w:styleId="Cuerpodeltexto280">
    <w:name w:val="Cuerpo del texto (28)"/>
    <w:basedOn w:val="Normal"/>
    <w:link w:val="Cuerpodeltexto28"/>
    <w:pPr>
      <w:shd w:val="clear" w:color="auto" w:fill="FFFFFF"/>
      <w:spacing w:after="180" w:line="293" w:lineRule="exact"/>
    </w:pPr>
    <w:rPr>
      <w:sz w:val="22"/>
      <w:szCs w:val="22"/>
    </w:rPr>
  </w:style>
  <w:style w:type="paragraph" w:customStyle="1" w:styleId="Cuerpodeltexto290">
    <w:name w:val="Cuerpo del texto (29)"/>
    <w:basedOn w:val="Normal"/>
    <w:link w:val="Cuerpodeltexto29"/>
    <w:pPr>
      <w:shd w:val="clear" w:color="auto" w:fill="FFFFFF"/>
      <w:spacing w:before="60" w:after="180" w:line="0" w:lineRule="atLeast"/>
    </w:pPr>
    <w:rPr>
      <w:sz w:val="18"/>
      <w:szCs w:val="18"/>
    </w:rPr>
  </w:style>
  <w:style w:type="paragraph" w:styleId="Sinespaciado">
    <w:name w:val="No Spacing"/>
    <w:uiPriority w:val="1"/>
    <w:qFormat/>
    <w:rsid w:val="00111C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2594</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yurriago</dc:creator>
  <cp:keywords/>
  <cp:lastModifiedBy>Microsoft Office User</cp:lastModifiedBy>
  <cp:revision>2</cp:revision>
  <dcterms:created xsi:type="dcterms:W3CDTF">2021-05-27T13:30:00Z</dcterms:created>
  <dcterms:modified xsi:type="dcterms:W3CDTF">2021-05-27T13:30:00Z</dcterms:modified>
</cp:coreProperties>
</file>