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DC" w:rsidRDefault="00FB51DC"/>
    <w:p w:rsidR="00806719" w:rsidRDefault="00806719">
      <w:hyperlink r:id="rId4" w:history="1">
        <w:r w:rsidRPr="001140B3">
          <w:rPr>
            <w:rStyle w:val="Hipervnculo"/>
          </w:rPr>
          <w:t>https://docs.google.com/spreadsheets/d/1Ml24qaw1SOhIaFayK-mENg04sMvHJX3zNNDplvEO_Iw/edit#gid=2020696126</w:t>
        </w:r>
      </w:hyperlink>
    </w:p>
    <w:p w:rsidR="00806719" w:rsidRDefault="00806719">
      <w:bookmarkStart w:id="0" w:name="_GoBack"/>
      <w:bookmarkEnd w:id="0"/>
    </w:p>
    <w:p w:rsidR="00806719" w:rsidRDefault="00806719"/>
    <w:tbl>
      <w:tblPr>
        <w:tblW w:w="0" w:type="dxa"/>
        <w:tblCellMar>
          <w:left w:w="0" w:type="dxa"/>
          <w:right w:w="0" w:type="dxa"/>
        </w:tblCellMar>
        <w:tblLook w:val="04A0" w:firstRow="1" w:lastRow="0" w:firstColumn="1" w:lastColumn="0" w:noHBand="0" w:noVBand="1"/>
      </w:tblPr>
      <w:tblGrid>
        <w:gridCol w:w="648"/>
        <w:gridCol w:w="563"/>
        <w:gridCol w:w="755"/>
        <w:gridCol w:w="632"/>
        <w:gridCol w:w="549"/>
        <w:gridCol w:w="182"/>
        <w:gridCol w:w="182"/>
        <w:gridCol w:w="2401"/>
        <w:gridCol w:w="1347"/>
        <w:gridCol w:w="494"/>
        <w:gridCol w:w="459"/>
        <w:gridCol w:w="170"/>
        <w:gridCol w:w="170"/>
        <w:gridCol w:w="170"/>
        <w:gridCol w:w="100"/>
      </w:tblGrid>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915"/>
        </w:trPr>
        <w:tc>
          <w:tcPr>
            <w:tcW w:w="0" w:type="auto"/>
            <w:gridSpan w:val="15"/>
            <w:tcBorders>
              <w:top w:val="single" w:sz="6" w:space="0" w:color="CCCCCC"/>
              <w:left w:val="single" w:sz="6" w:space="0" w:color="CCCCCC"/>
              <w:bottom w:val="single" w:sz="6" w:space="0" w:color="CCCCCC"/>
              <w:right w:val="single" w:sz="6" w:space="0" w:color="CCCCCC"/>
            </w:tcBorders>
            <w:shd w:val="clear" w:color="auto" w:fill="DEEAF6"/>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b/>
                <w:bCs/>
                <w:sz w:val="32"/>
                <w:szCs w:val="32"/>
                <w:lang w:val="es-CO" w:eastAsia="es-ES_tradnl"/>
              </w:rPr>
            </w:pPr>
            <w:r w:rsidRPr="00806719">
              <w:rPr>
                <w:rFonts w:ascii="Work Sans" w:eastAsia="Times New Roman" w:hAnsi="Work Sans" w:cs="Times New Roman"/>
                <w:b/>
                <w:bCs/>
                <w:sz w:val="32"/>
                <w:szCs w:val="32"/>
                <w:lang w:val="es-CO" w:eastAsia="es-ES_tradnl"/>
              </w:rPr>
              <w:t>PRESENTACIÓN DEL INVENTARIO DE SENTENCIAS DE UNIFICACIÓN</w:t>
            </w:r>
            <w:r w:rsidRPr="00806719">
              <w:rPr>
                <w:rFonts w:ascii="Work Sans" w:eastAsia="Times New Roman" w:hAnsi="Work Sans" w:cs="Times New Roman"/>
                <w:b/>
                <w:bCs/>
                <w:sz w:val="32"/>
                <w:szCs w:val="32"/>
                <w:lang w:val="es-CO" w:eastAsia="es-ES_tradnl"/>
              </w:rPr>
              <w:br/>
              <w:t>Consejo de Estado</w:t>
            </w: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b/>
                <w:bCs/>
                <w:sz w:val="32"/>
                <w:szCs w:val="3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Calibri" w:eastAsia="Times New Roman" w:hAnsi="Calibri" w:cs="Times New Roman"/>
                <w:sz w:val="22"/>
                <w:szCs w:val="22"/>
                <w:lang w:val="es-CO" w:eastAsia="es-ES_tradnl"/>
              </w:rPr>
            </w:pPr>
            <w:r w:rsidRPr="00806719">
              <w:rPr>
                <w:rFonts w:ascii="Calibri" w:eastAsia="Times New Roman" w:hAnsi="Calibri" w:cs="Times New Roman"/>
                <w:sz w:val="22"/>
                <w:szCs w:val="22"/>
                <w:lang w:val="es-CO" w:eastAsia="es-ES_tradnl"/>
              </w:rPr>
              <w:t>Año</w:t>
            </w:r>
          </w:p>
        </w:tc>
        <w:tc>
          <w:tcPr>
            <w:tcW w:w="0" w:type="auto"/>
            <w:gridSpan w:val="13"/>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000000"/>
                <w:sz w:val="32"/>
                <w:szCs w:val="32"/>
                <w:lang w:val="es-CO" w:eastAsia="es-ES_tradnl"/>
              </w:rPr>
            </w:pPr>
            <w:r w:rsidRPr="00806719">
              <w:rPr>
                <w:rFonts w:ascii="Work Sans" w:eastAsia="Times New Roman" w:hAnsi="Work Sans" w:cs="Times New Roman"/>
                <w:color w:val="000000"/>
                <w:sz w:val="32"/>
                <w:szCs w:val="32"/>
                <w:lang w:val="es-CO" w:eastAsia="es-ES_tradnl"/>
              </w:rPr>
              <w:t>La Agencia Nacional de Defensa Jurídica del Estado pone a disposición de los abogados defensores de las entidades públicas la presente herramienta a través de la cual se podrá consultar el inventario de sentencias de unificación proferidas por el Consejo de Estado, en los principales asuntos relevantes para la defensa jurídica del Estado. Los invitamos a utilizarla para fortalecer la labor que realizan en los procesos judiciales a su cargo.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000000"/>
                <w:sz w:val="32"/>
                <w:szCs w:val="32"/>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2007</w:t>
            </w:r>
          </w:p>
        </w:tc>
        <w:tc>
          <w:tcPr>
            <w:tcW w:w="0" w:type="auto"/>
            <w:gridSpan w:val="1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000000"/>
                <w:sz w:val="32"/>
                <w:szCs w:val="3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2009</w:t>
            </w:r>
          </w:p>
        </w:tc>
        <w:tc>
          <w:tcPr>
            <w:tcW w:w="0" w:type="auto"/>
            <w:gridSpan w:val="1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000000"/>
                <w:sz w:val="32"/>
                <w:szCs w:val="3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2010</w:t>
            </w:r>
          </w:p>
        </w:tc>
        <w:tc>
          <w:tcPr>
            <w:tcW w:w="0" w:type="auto"/>
            <w:gridSpan w:val="1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000000"/>
                <w:sz w:val="32"/>
                <w:szCs w:val="3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2011</w:t>
            </w:r>
          </w:p>
        </w:tc>
        <w:tc>
          <w:tcPr>
            <w:tcW w:w="0" w:type="auto"/>
            <w:gridSpan w:val="1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000000"/>
                <w:sz w:val="32"/>
                <w:szCs w:val="3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1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000000"/>
                <w:sz w:val="32"/>
                <w:szCs w:val="3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102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1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000000"/>
                <w:sz w:val="32"/>
                <w:szCs w:val="32"/>
                <w:lang w:val="es-CO" w:eastAsia="es-ES_tradnl"/>
              </w:rPr>
            </w:pPr>
            <w:r w:rsidRPr="00806719">
              <w:rPr>
                <w:rFonts w:ascii="Work Sans" w:eastAsia="Times New Roman" w:hAnsi="Work Sans" w:cs="Times New Roman"/>
                <w:color w:val="000000"/>
                <w:sz w:val="32"/>
                <w:szCs w:val="32"/>
                <w:lang w:val="es-CO" w:eastAsia="es-ES_tradnl"/>
              </w:rPr>
              <w:t>Para utilizar la herramienta, por favor, ubíquese en el botón que contenga la información de su interés y haga clic en el recuadro emergente: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000000"/>
                <w:sz w:val="32"/>
                <w:szCs w:val="32"/>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2012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Calibri" w:eastAsia="Times New Roman" w:hAnsi="Calibri" w:cs="Times New Roman"/>
                <w:sz w:val="22"/>
                <w:szCs w:val="22"/>
                <w:lang w:val="es-CO" w:eastAsia="es-ES_tradnl"/>
              </w:rPr>
            </w:pPr>
            <w:r w:rsidRPr="00806719">
              <w:rPr>
                <w:rFonts w:ascii="Calibri" w:eastAsia="Times New Roman" w:hAnsi="Calibri" w:cs="Times New Roman"/>
                <w:sz w:val="22"/>
                <w:szCs w:val="22"/>
                <w:lang w:val="es-CO" w:eastAsia="es-ES_tradnl"/>
              </w:rPr>
              <w:t>Aspectos contractuales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FFFFFF"/>
                <w:lang w:val="es-CO" w:eastAsia="es-ES_tradnl"/>
              </w:rPr>
            </w:pPr>
            <w:hyperlink w:anchor="gid=862110157" w:tgtFrame="_blank" w:history="1">
              <w:r w:rsidRPr="00806719">
                <w:rPr>
                  <w:rFonts w:ascii="Work Sans" w:eastAsia="Times New Roman" w:hAnsi="Work Sans" w:cs="Times New Roman"/>
                  <w:color w:val="0000FF"/>
                  <w:u w:val="single"/>
                  <w:lang w:val="es-CO" w:eastAsia="es-ES_tradnl"/>
                </w:rPr>
                <w:t>Resumen de la información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FFFFFF"/>
                <w:lang w:val="es-CO" w:eastAsia="es-ES_tradnl"/>
              </w:rPr>
            </w:pPr>
            <w:hyperlink w:anchor="gid=78571586" w:tgtFrame="_blank" w:history="1">
              <w:r w:rsidRPr="00806719">
                <w:rPr>
                  <w:rFonts w:ascii="Work Sans" w:eastAsia="Times New Roman" w:hAnsi="Work Sans" w:cs="Times New Roman"/>
                  <w:color w:val="0000FF"/>
                  <w:u w:val="single"/>
                  <w:lang w:val="es-CO" w:eastAsia="es-ES_tradnl"/>
                </w:rPr>
                <w:t>Inventario general de sentencias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72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FFFFFF"/>
                <w:lang w:val="es-CO" w:eastAsia="es-ES_tradnl"/>
              </w:rPr>
            </w:pPr>
            <w:hyperlink w:anchor="gid=1889084189" w:tgtFrame="_blank" w:history="1">
              <w:r w:rsidRPr="00806719">
                <w:rPr>
                  <w:rFonts w:ascii="Work Sans" w:eastAsia="Times New Roman" w:hAnsi="Work Sans" w:cs="Times New Roman"/>
                  <w:color w:val="0000FF"/>
                  <w:u w:val="single"/>
                  <w:lang w:val="es-CO" w:eastAsia="es-ES_tradnl"/>
                </w:rPr>
                <w:t>Sentencias de unificación sobre asuntos laborales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FFFFFF"/>
                <w:lang w:val="es-CO" w:eastAsia="es-ES_tradnl"/>
              </w:rPr>
            </w:pPr>
            <w:hyperlink w:anchor="gid=1394026273" w:tgtFrame="_blank" w:history="1">
              <w:r w:rsidRPr="00806719">
                <w:rPr>
                  <w:rFonts w:ascii="Work Sans" w:eastAsia="Times New Roman" w:hAnsi="Work Sans" w:cs="Times New Roman"/>
                  <w:color w:val="0000FF"/>
                  <w:u w:val="single"/>
                  <w:lang w:val="es-CO" w:eastAsia="es-ES_tradnl"/>
                </w:rPr>
                <w:t>Sentencias de unificación sobre asuntos de la responsabilidad extracontractual del Estado</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72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lastRenderedPageBreak/>
              <w:t>2014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FFFFFF"/>
                <w:lang w:val="es-CO" w:eastAsia="es-ES_tradnl"/>
              </w:rPr>
            </w:pPr>
            <w:hyperlink w:anchor="gid=1830857654" w:tgtFrame="_blank" w:history="1">
              <w:r w:rsidRPr="00806719">
                <w:rPr>
                  <w:rFonts w:ascii="Work Sans" w:eastAsia="Times New Roman" w:hAnsi="Work Sans" w:cs="Times New Roman"/>
                  <w:color w:val="0000FF"/>
                  <w:u w:val="single"/>
                  <w:lang w:val="es-CO" w:eastAsia="es-ES_tradnl"/>
                </w:rPr>
                <w:t>Sentencias de unificación sobre asuntos aduaneros, tributarios y cambiarios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FFFFFF"/>
                <w:lang w:val="es-CO" w:eastAsia="es-ES_tradnl"/>
              </w:rPr>
            </w:pPr>
            <w:hyperlink w:anchor="gid=211902151" w:tgtFrame="_blank" w:history="1">
              <w:r w:rsidRPr="00806719">
                <w:rPr>
                  <w:rFonts w:ascii="Work Sans" w:eastAsia="Times New Roman" w:hAnsi="Work Sans" w:cs="Times New Roman"/>
                  <w:color w:val="0000FF"/>
                  <w:u w:val="single"/>
                  <w:lang w:val="es-CO" w:eastAsia="es-ES_tradnl"/>
                </w:rPr>
                <w:t>Sentencias de unificación sobre otros asuntos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72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r w:rsidRPr="00806719">
              <w:rPr>
                <w:rFonts w:ascii="Work Sans" w:eastAsia="Times New Roman" w:hAnsi="Work Sans" w:cs="Times New Roman"/>
                <w:color w:val="FFFFFF"/>
                <w:lang w:val="es-CO" w:eastAsia="es-ES_tradn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lang w:val="es-CO" w:eastAsia="es-ES_tradnl"/>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FFFFFF"/>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r w:rsidRPr="00806719">
              <w:rPr>
                <w:rFonts w:ascii="Work Sans" w:eastAsia="Times New Roman" w:hAnsi="Work Sans" w:cs="Times New Roman"/>
                <w:color w:val="FFFFFF"/>
                <w:sz w:val="22"/>
                <w:szCs w:val="22"/>
                <w:lang w:val="es-CO" w:eastAsia="es-ES_tradnl"/>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right"/>
              <w:rPr>
                <w:rFonts w:ascii="Work Sans" w:eastAsia="Times New Roman" w:hAnsi="Work Sans" w:cs="Times New Roman"/>
                <w:color w:val="FFFFFF"/>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13"/>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06719" w:rsidRPr="00806719" w:rsidRDefault="00806719" w:rsidP="00806719">
            <w:pPr>
              <w:jc w:val="center"/>
              <w:rPr>
                <w:rFonts w:ascii="Work Sans" w:eastAsia="Times New Roman" w:hAnsi="Work Sans" w:cs="Times New Roman"/>
                <w:color w:val="000000"/>
                <w:lang w:val="es-CO" w:eastAsia="es-ES_tradnl"/>
              </w:rPr>
            </w:pPr>
            <w:r w:rsidRPr="00806719">
              <w:rPr>
                <w:rFonts w:ascii="Work Sans" w:eastAsia="Times New Roman" w:hAnsi="Work Sans" w:cs="Times New Roman"/>
                <w:color w:val="000000"/>
                <w:lang w:val="es-CO" w:eastAsia="es-ES_tradnl"/>
              </w:rPr>
              <w:t xml:space="preserve">Si desea consultar o profundizar acerca de las sentencias de unificación jurisprudencial proferidas por el Consejo de Estado, consulte el siguiente enlace: </w:t>
            </w:r>
            <w:hyperlink r:id="rId5" w:tgtFrame="_blank" w:history="1">
              <w:r w:rsidRPr="00806719">
                <w:rPr>
                  <w:rFonts w:ascii="Work Sans" w:eastAsia="Times New Roman" w:hAnsi="Work Sans" w:cs="Times New Roman"/>
                  <w:color w:val="0000FF"/>
                  <w:u w:val="single"/>
                  <w:lang w:val="es-CO" w:eastAsia="es-ES_tradnl"/>
                </w:rPr>
                <w:t>http://servicios.consejodeestado.gov.co/testmaster/nue_unifi.asp</w:t>
              </w:r>
            </w:hyperlink>
            <w:r w:rsidRPr="00806719">
              <w:rPr>
                <w:rFonts w:ascii="Work Sans" w:eastAsia="Times New Roman" w:hAnsi="Work Sans" w:cs="Times New Roman"/>
                <w:color w:val="000000"/>
                <w:lang w:val="es-CO" w:eastAsia="es-ES_tradnl"/>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jc w:val="center"/>
              <w:rPr>
                <w:rFonts w:ascii="Work Sans" w:eastAsia="Times New Roman" w:hAnsi="Work Sans" w:cs="Times New Roman"/>
                <w:color w:val="000000"/>
                <w:lang w:val="es-CO" w:eastAsia="es-ES_tradnl"/>
              </w:rPr>
            </w:pPr>
          </w:p>
        </w:tc>
      </w:tr>
      <w:tr w:rsidR="00806719" w:rsidRPr="00806719" w:rsidTr="00806719">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c>
          <w:tcPr>
            <w:tcW w:w="0" w:type="auto"/>
            <w:gridSpan w:val="13"/>
            <w:vMerge/>
            <w:tcBorders>
              <w:top w:val="single" w:sz="6" w:space="0" w:color="CCCCCC"/>
              <w:left w:val="single" w:sz="6" w:space="0" w:color="CCCCCC"/>
              <w:bottom w:val="single" w:sz="6" w:space="0" w:color="CCCCCC"/>
              <w:right w:val="single" w:sz="6" w:space="0" w:color="CCCCCC"/>
            </w:tcBorders>
            <w:vAlign w:val="center"/>
            <w:hideMark/>
          </w:tcPr>
          <w:p w:rsidR="00806719" w:rsidRPr="00806719" w:rsidRDefault="00806719" w:rsidP="00806719">
            <w:pPr>
              <w:rPr>
                <w:rFonts w:ascii="Work Sans" w:eastAsia="Times New Roman" w:hAnsi="Work Sans" w:cs="Times New Roman"/>
                <w:color w:val="000000"/>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06719" w:rsidRPr="00806719" w:rsidRDefault="00806719" w:rsidP="00806719">
            <w:pPr>
              <w:rPr>
                <w:rFonts w:ascii="Times New Roman" w:eastAsia="Times New Roman" w:hAnsi="Times New Roman" w:cs="Times New Roman"/>
                <w:sz w:val="20"/>
                <w:szCs w:val="20"/>
                <w:lang w:val="es-CO" w:eastAsia="es-ES_tradnl"/>
              </w:rPr>
            </w:pPr>
          </w:p>
        </w:tc>
      </w:tr>
    </w:tbl>
    <w:p w:rsidR="00806719" w:rsidRPr="00806719" w:rsidRDefault="00806719">
      <w:pPr>
        <w:rPr>
          <w:lang w:val="es-CO"/>
        </w:rPr>
      </w:pPr>
    </w:p>
    <w:sectPr w:rsidR="00806719" w:rsidRPr="00806719" w:rsidSect="00B83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ork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19"/>
    <w:rsid w:val="00806719"/>
    <w:rsid w:val="00B83A7B"/>
    <w:rsid w:val="00FB51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65888B2"/>
  <w14:defaultImageDpi w14:val="32767"/>
  <w15:chartTrackingRefBased/>
  <w15:docId w15:val="{A5F0F52E-2954-0545-8182-EC8FDB4D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6719"/>
    <w:rPr>
      <w:color w:val="0000FF"/>
      <w:u w:val="single"/>
    </w:rPr>
  </w:style>
  <w:style w:type="character" w:styleId="Mencinsinresolver">
    <w:name w:val="Unresolved Mention"/>
    <w:basedOn w:val="Fuentedeprrafopredeter"/>
    <w:uiPriority w:val="99"/>
    <w:rsid w:val="0080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3347">
      <w:bodyDiv w:val="1"/>
      <w:marLeft w:val="0"/>
      <w:marRight w:val="0"/>
      <w:marTop w:val="0"/>
      <w:marBottom w:val="0"/>
      <w:divBdr>
        <w:top w:val="none" w:sz="0" w:space="0" w:color="auto"/>
        <w:left w:val="none" w:sz="0" w:space="0" w:color="auto"/>
        <w:bottom w:val="none" w:sz="0" w:space="0" w:color="auto"/>
        <w:right w:val="none" w:sz="0" w:space="0" w:color="auto"/>
      </w:divBdr>
      <w:divsChild>
        <w:div w:id="163739007">
          <w:marLeft w:val="0"/>
          <w:marRight w:val="0"/>
          <w:marTop w:val="0"/>
          <w:marBottom w:val="0"/>
          <w:divBdr>
            <w:top w:val="none" w:sz="0" w:space="0" w:color="auto"/>
            <w:left w:val="none" w:sz="0" w:space="0" w:color="auto"/>
            <w:bottom w:val="none" w:sz="0" w:space="0" w:color="auto"/>
            <w:right w:val="none" w:sz="0" w:space="0" w:color="auto"/>
          </w:divBdr>
        </w:div>
        <w:div w:id="1073744445">
          <w:marLeft w:val="0"/>
          <w:marRight w:val="0"/>
          <w:marTop w:val="0"/>
          <w:marBottom w:val="0"/>
          <w:divBdr>
            <w:top w:val="none" w:sz="0" w:space="0" w:color="auto"/>
            <w:left w:val="none" w:sz="0" w:space="0" w:color="auto"/>
            <w:bottom w:val="none" w:sz="0" w:space="0" w:color="auto"/>
            <w:right w:val="none" w:sz="0" w:space="0" w:color="auto"/>
          </w:divBdr>
        </w:div>
        <w:div w:id="1086152599">
          <w:marLeft w:val="0"/>
          <w:marRight w:val="0"/>
          <w:marTop w:val="0"/>
          <w:marBottom w:val="0"/>
          <w:divBdr>
            <w:top w:val="none" w:sz="0" w:space="0" w:color="auto"/>
            <w:left w:val="none" w:sz="0" w:space="0" w:color="auto"/>
            <w:bottom w:val="none" w:sz="0" w:space="0" w:color="auto"/>
            <w:right w:val="none" w:sz="0" w:space="0" w:color="auto"/>
          </w:divBdr>
        </w:div>
        <w:div w:id="1340280948">
          <w:marLeft w:val="0"/>
          <w:marRight w:val="0"/>
          <w:marTop w:val="0"/>
          <w:marBottom w:val="0"/>
          <w:divBdr>
            <w:top w:val="none" w:sz="0" w:space="0" w:color="auto"/>
            <w:left w:val="none" w:sz="0" w:space="0" w:color="auto"/>
            <w:bottom w:val="none" w:sz="0" w:space="0" w:color="auto"/>
            <w:right w:val="none" w:sz="0" w:space="0" w:color="auto"/>
          </w:divBdr>
        </w:div>
        <w:div w:id="1005205543">
          <w:marLeft w:val="0"/>
          <w:marRight w:val="0"/>
          <w:marTop w:val="0"/>
          <w:marBottom w:val="0"/>
          <w:divBdr>
            <w:top w:val="none" w:sz="0" w:space="0" w:color="auto"/>
            <w:left w:val="none" w:sz="0" w:space="0" w:color="auto"/>
            <w:bottom w:val="none" w:sz="0" w:space="0" w:color="auto"/>
            <w:right w:val="none" w:sz="0" w:space="0" w:color="auto"/>
          </w:divBdr>
        </w:div>
        <w:div w:id="1105004799">
          <w:marLeft w:val="0"/>
          <w:marRight w:val="0"/>
          <w:marTop w:val="0"/>
          <w:marBottom w:val="0"/>
          <w:divBdr>
            <w:top w:val="none" w:sz="0" w:space="0" w:color="auto"/>
            <w:left w:val="none" w:sz="0" w:space="0" w:color="auto"/>
            <w:bottom w:val="none" w:sz="0" w:space="0" w:color="auto"/>
            <w:right w:val="none" w:sz="0" w:space="0" w:color="auto"/>
          </w:divBdr>
        </w:div>
        <w:div w:id="464201754">
          <w:marLeft w:val="0"/>
          <w:marRight w:val="0"/>
          <w:marTop w:val="0"/>
          <w:marBottom w:val="0"/>
          <w:divBdr>
            <w:top w:val="none" w:sz="0" w:space="0" w:color="auto"/>
            <w:left w:val="none" w:sz="0" w:space="0" w:color="auto"/>
            <w:bottom w:val="none" w:sz="0" w:space="0" w:color="auto"/>
            <w:right w:val="none" w:sz="0" w:space="0" w:color="auto"/>
          </w:divBdr>
        </w:div>
        <w:div w:id="191373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vicios.consejodeestado.gov.co/testmaster/nue_unifi.asp" TargetMode="External"/><Relationship Id="rId4" Type="http://schemas.openxmlformats.org/officeDocument/2006/relationships/hyperlink" Target="https://docs.google.com/spreadsheets/d/1Ml24qaw1SOhIaFayK-mENg04sMvHJX3zNNDplvEO_Iw/edit#gid=20206961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2021-06-10T13:41:00Z</dcterms:created>
  <dcterms:modified xsi:type="dcterms:W3CDTF">2021-06-10T13:43:00Z</dcterms:modified>
</cp:coreProperties>
</file>