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A842D" w14:textId="5B3143E3" w:rsidR="005A56EF" w:rsidRPr="00AF752C" w:rsidRDefault="00AF752C" w:rsidP="00AF752C">
      <w:pPr>
        <w:pStyle w:val="Sinespaciado"/>
        <w:jc w:val="both"/>
        <w:rPr>
          <w:rFonts w:ascii="Verdana" w:hAnsi="Verdana"/>
          <w:b/>
          <w:bCs/>
        </w:rPr>
      </w:pPr>
      <w:bookmarkStart w:id="0" w:name="_GoBack"/>
      <w:bookmarkEnd w:id="0"/>
      <w:r w:rsidRPr="00AF752C">
        <w:rPr>
          <w:rFonts w:ascii="Verdana" w:hAnsi="Verdana"/>
          <w:b/>
          <w:bCs/>
        </w:rPr>
        <w:t>CONCEPTO 464 DEL 25 DE MARZO DE 2021</w:t>
      </w:r>
    </w:p>
    <w:p w14:paraId="0C064857" w14:textId="0E954DF9" w:rsidR="00AF752C" w:rsidRPr="00AF752C" w:rsidRDefault="00AF752C" w:rsidP="00AF752C">
      <w:pPr>
        <w:pStyle w:val="Sinespaciado"/>
        <w:jc w:val="both"/>
        <w:rPr>
          <w:rFonts w:ascii="Verdana" w:hAnsi="Verdana"/>
          <w:b/>
          <w:bCs/>
        </w:rPr>
      </w:pPr>
      <w:r w:rsidRPr="00AF752C">
        <w:rPr>
          <w:rFonts w:ascii="Verdana" w:hAnsi="Verdana"/>
          <w:b/>
          <w:bCs/>
        </w:rPr>
        <w:t>DIRECCIÓN DE IMPUESTOS Y ADUANAS NACIONALES</w:t>
      </w:r>
    </w:p>
    <w:p w14:paraId="3A1D7901" w14:textId="77777777" w:rsidR="005A56EF" w:rsidRPr="00AF752C" w:rsidRDefault="005A56EF" w:rsidP="00AF752C">
      <w:pPr>
        <w:pStyle w:val="Sinespaciado"/>
        <w:jc w:val="both"/>
        <w:rPr>
          <w:rFonts w:ascii="Verdana" w:hAnsi="Verdana"/>
        </w:rPr>
      </w:pPr>
    </w:p>
    <w:p w14:paraId="17B80038" w14:textId="3FD1EBF7" w:rsidR="005A56EF" w:rsidRPr="00AF752C" w:rsidRDefault="00AF752C" w:rsidP="00AF752C">
      <w:pPr>
        <w:pStyle w:val="Sinespaciado"/>
        <w:jc w:val="both"/>
        <w:rPr>
          <w:rFonts w:ascii="Verdana" w:hAnsi="Verdana"/>
        </w:rPr>
      </w:pPr>
      <w:r>
        <w:rPr>
          <w:rFonts w:ascii="Verdana" w:hAnsi="Verdana"/>
        </w:rPr>
        <w:t>Bogotá, D.C.</w:t>
      </w:r>
    </w:p>
    <w:p w14:paraId="08ED2A8E" w14:textId="77777777" w:rsidR="005A56EF" w:rsidRPr="00AF752C" w:rsidRDefault="005A56EF" w:rsidP="00AF752C">
      <w:pPr>
        <w:pStyle w:val="Sinespaciado"/>
        <w:jc w:val="both"/>
        <w:rPr>
          <w:rFonts w:ascii="Verdana" w:hAnsi="Verdana"/>
        </w:rPr>
      </w:pPr>
    </w:p>
    <w:p w14:paraId="51C21F04" w14:textId="2E218A15" w:rsidR="005A56EF" w:rsidRPr="00AF752C" w:rsidRDefault="00492BE5" w:rsidP="00AF752C">
      <w:pPr>
        <w:pStyle w:val="Sinespaciado"/>
        <w:jc w:val="both"/>
        <w:rPr>
          <w:rFonts w:ascii="Verdana" w:hAnsi="Verdana"/>
        </w:rPr>
      </w:pPr>
      <w:r w:rsidRPr="00AF752C">
        <w:rPr>
          <w:rFonts w:ascii="Verdana" w:hAnsi="Verdana"/>
          <w:b/>
          <w:bCs/>
        </w:rPr>
        <w:t>Tema</w:t>
      </w:r>
      <w:r w:rsidR="00AF752C">
        <w:rPr>
          <w:rFonts w:ascii="Verdana" w:hAnsi="Verdana"/>
          <w:b/>
          <w:bCs/>
        </w:rPr>
        <w:tab/>
      </w:r>
      <w:r w:rsidR="00AF752C">
        <w:rPr>
          <w:rFonts w:ascii="Verdana" w:hAnsi="Verdana"/>
          <w:b/>
          <w:bCs/>
        </w:rPr>
        <w:tab/>
      </w:r>
      <w:r w:rsidR="00AF752C">
        <w:rPr>
          <w:rFonts w:ascii="Verdana" w:hAnsi="Verdana"/>
          <w:b/>
          <w:bCs/>
        </w:rPr>
        <w:tab/>
      </w:r>
      <w:r w:rsidRPr="00AF752C">
        <w:rPr>
          <w:rFonts w:ascii="Verdana" w:hAnsi="Verdana"/>
        </w:rPr>
        <w:t>Régimen Tributario Especial</w:t>
      </w:r>
    </w:p>
    <w:p w14:paraId="1F2CBD0A" w14:textId="650D1150" w:rsidR="005A56EF" w:rsidRPr="00AF752C" w:rsidRDefault="00492BE5" w:rsidP="00AF752C">
      <w:pPr>
        <w:pStyle w:val="Sinespaciado"/>
        <w:jc w:val="both"/>
        <w:rPr>
          <w:rFonts w:ascii="Verdana" w:hAnsi="Verdana"/>
        </w:rPr>
      </w:pPr>
      <w:r w:rsidRPr="00AF752C">
        <w:rPr>
          <w:rFonts w:ascii="Verdana" w:hAnsi="Verdana"/>
          <w:b/>
          <w:bCs/>
        </w:rPr>
        <w:t>Descriptores</w:t>
      </w:r>
      <w:r w:rsidR="00AF752C">
        <w:rPr>
          <w:rFonts w:ascii="Verdana" w:hAnsi="Verdana"/>
          <w:b/>
          <w:bCs/>
        </w:rPr>
        <w:tab/>
      </w:r>
      <w:r w:rsidR="00AF752C">
        <w:rPr>
          <w:rFonts w:ascii="Verdana" w:hAnsi="Verdana"/>
          <w:b/>
          <w:bCs/>
        </w:rPr>
        <w:tab/>
      </w:r>
      <w:r w:rsidRPr="00AF752C">
        <w:rPr>
          <w:rFonts w:ascii="Verdana" w:hAnsi="Verdana"/>
        </w:rPr>
        <w:t>Cooperativas</w:t>
      </w:r>
    </w:p>
    <w:p w14:paraId="125CE148" w14:textId="77777777" w:rsidR="005A56EF" w:rsidRPr="00AF752C" w:rsidRDefault="00492BE5" w:rsidP="00AF752C">
      <w:pPr>
        <w:pStyle w:val="Sinespaciado"/>
        <w:ind w:left="2124" w:firstLine="708"/>
        <w:jc w:val="both"/>
        <w:rPr>
          <w:rFonts w:ascii="Verdana" w:hAnsi="Verdana"/>
        </w:rPr>
      </w:pPr>
      <w:r w:rsidRPr="00AF752C">
        <w:rPr>
          <w:rFonts w:ascii="Verdana" w:hAnsi="Verdana"/>
        </w:rPr>
        <w:t>Determinación del beneficio neto o excedente</w:t>
      </w:r>
    </w:p>
    <w:p w14:paraId="103B46EC" w14:textId="5086128B" w:rsidR="005A56EF" w:rsidRPr="00AF752C" w:rsidRDefault="00492BE5" w:rsidP="00AF752C">
      <w:pPr>
        <w:pStyle w:val="Sinespaciado"/>
        <w:jc w:val="both"/>
        <w:rPr>
          <w:rFonts w:ascii="Verdana" w:hAnsi="Verdana"/>
        </w:rPr>
      </w:pPr>
      <w:r w:rsidRPr="00AF752C">
        <w:rPr>
          <w:rFonts w:ascii="Verdana" w:hAnsi="Verdana"/>
          <w:b/>
          <w:bCs/>
        </w:rPr>
        <w:t>Fuentes formales</w:t>
      </w:r>
      <w:r w:rsidR="00AF752C">
        <w:rPr>
          <w:rFonts w:ascii="Verdana" w:hAnsi="Verdana"/>
          <w:b/>
          <w:bCs/>
        </w:rPr>
        <w:tab/>
      </w:r>
      <w:r w:rsidRPr="00AF752C">
        <w:rPr>
          <w:rFonts w:ascii="Verdana" w:hAnsi="Verdana"/>
        </w:rPr>
        <w:t>Artículo 19-4 del Estatuto Tributario</w:t>
      </w:r>
    </w:p>
    <w:p w14:paraId="4D1C9550" w14:textId="77777777" w:rsidR="005A56EF" w:rsidRPr="00AF752C" w:rsidRDefault="00492BE5" w:rsidP="00AF752C">
      <w:pPr>
        <w:pStyle w:val="Sinespaciado"/>
        <w:ind w:left="2124" w:firstLine="708"/>
        <w:jc w:val="both"/>
        <w:rPr>
          <w:rFonts w:ascii="Verdana" w:hAnsi="Verdana"/>
        </w:rPr>
      </w:pPr>
      <w:r w:rsidRPr="00AF752C">
        <w:rPr>
          <w:rFonts w:ascii="Verdana" w:hAnsi="Verdana"/>
        </w:rPr>
        <w:t>Artículo 1.2.1.5.2.7. del Decreto 1625 de 2016</w:t>
      </w:r>
    </w:p>
    <w:p w14:paraId="1AA9568B" w14:textId="77777777" w:rsidR="00AF752C" w:rsidRDefault="00AF752C" w:rsidP="00AF752C">
      <w:pPr>
        <w:pStyle w:val="Sinespaciado"/>
        <w:jc w:val="both"/>
        <w:rPr>
          <w:rFonts w:ascii="Verdana" w:hAnsi="Verdana"/>
        </w:rPr>
      </w:pPr>
    </w:p>
    <w:p w14:paraId="5C990623" w14:textId="4282454C" w:rsidR="005A56EF" w:rsidRPr="00AF752C" w:rsidRDefault="00492BE5" w:rsidP="00AF752C">
      <w:pPr>
        <w:pStyle w:val="Sinespaciado"/>
        <w:jc w:val="both"/>
        <w:rPr>
          <w:rFonts w:ascii="Verdana" w:hAnsi="Verdana"/>
        </w:rPr>
      </w:pPr>
      <w:r w:rsidRPr="00AF752C">
        <w:rPr>
          <w:rFonts w:ascii="Verdana" w:hAnsi="Verdana"/>
        </w:rPr>
        <w:t>Cordial saludo.</w:t>
      </w:r>
    </w:p>
    <w:p w14:paraId="102FB85D" w14:textId="77777777" w:rsidR="00AF752C" w:rsidRDefault="00AF752C" w:rsidP="00AF752C">
      <w:pPr>
        <w:pStyle w:val="Sinespaciado"/>
        <w:jc w:val="both"/>
        <w:rPr>
          <w:rFonts w:ascii="Verdana" w:hAnsi="Verdana"/>
        </w:rPr>
      </w:pPr>
    </w:p>
    <w:p w14:paraId="758D5204" w14:textId="6D69D57B" w:rsidR="005A56EF" w:rsidRPr="00AF752C" w:rsidRDefault="00492BE5" w:rsidP="00AF752C">
      <w:pPr>
        <w:pStyle w:val="Sinespaciado"/>
        <w:jc w:val="both"/>
        <w:rPr>
          <w:rFonts w:ascii="Verdana" w:hAnsi="Verdana"/>
        </w:rPr>
      </w:pPr>
      <w:r w:rsidRPr="00AF752C">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F4857D2" w14:textId="77777777" w:rsidR="00492BE5" w:rsidRDefault="00492BE5" w:rsidP="00AF752C">
      <w:pPr>
        <w:pStyle w:val="Sinespaciado"/>
        <w:jc w:val="both"/>
        <w:rPr>
          <w:rFonts w:ascii="Verdana" w:hAnsi="Verdana"/>
        </w:rPr>
      </w:pPr>
    </w:p>
    <w:p w14:paraId="49905378" w14:textId="1EC6E4E8" w:rsidR="005A56EF" w:rsidRPr="00AF752C" w:rsidRDefault="00492BE5" w:rsidP="00AF752C">
      <w:pPr>
        <w:pStyle w:val="Sinespaciado"/>
        <w:jc w:val="both"/>
        <w:rPr>
          <w:rFonts w:ascii="Verdana" w:hAnsi="Verdana"/>
        </w:rPr>
      </w:pPr>
      <w:r w:rsidRPr="00AF752C">
        <w:rPr>
          <w:rFonts w:ascii="Verdana" w:hAnsi="Verdana"/>
        </w:rPr>
        <w:t>Mediante el radicado de la referencia, el peticionario manifiesta que, mediante las Circulares No. 11 y 17 de 2020, emitidas por la Superintendencia de Economía Solidaria, se emitieron unas instrucciones prudenciales en materia de cartera de créditos, y pregunta si es posible deducir en el impuesto de renta este deterioro adicional de la cartera de créditos.</w:t>
      </w:r>
    </w:p>
    <w:p w14:paraId="1F8CDA98" w14:textId="77777777" w:rsidR="00492BE5" w:rsidRDefault="00492BE5" w:rsidP="00AF752C">
      <w:pPr>
        <w:pStyle w:val="Sinespaciado"/>
        <w:jc w:val="both"/>
        <w:rPr>
          <w:rFonts w:ascii="Verdana" w:hAnsi="Verdana"/>
        </w:rPr>
      </w:pPr>
    </w:p>
    <w:p w14:paraId="40DF11B6" w14:textId="255DEE54" w:rsidR="005A56EF" w:rsidRPr="00AF752C" w:rsidRDefault="00492BE5" w:rsidP="00AF752C">
      <w:pPr>
        <w:pStyle w:val="Sinespaciado"/>
        <w:jc w:val="both"/>
        <w:rPr>
          <w:rFonts w:ascii="Verdana" w:hAnsi="Verdana"/>
        </w:rPr>
      </w:pPr>
      <w:r w:rsidRPr="00AF752C">
        <w:rPr>
          <w:rFonts w:ascii="Verdana" w:hAnsi="Verdana"/>
        </w:rPr>
        <w:t>Sobre el particular, las consideraciones de este Despacho son las siguientes:</w:t>
      </w:r>
    </w:p>
    <w:p w14:paraId="253CA87E" w14:textId="77777777" w:rsidR="00492BE5" w:rsidRDefault="00492BE5" w:rsidP="00AF752C">
      <w:pPr>
        <w:pStyle w:val="Sinespaciado"/>
        <w:jc w:val="both"/>
        <w:rPr>
          <w:rFonts w:ascii="Verdana" w:hAnsi="Verdana"/>
        </w:rPr>
      </w:pPr>
    </w:p>
    <w:p w14:paraId="48B75B44" w14:textId="79AAB708" w:rsidR="005A56EF" w:rsidRPr="00AF752C" w:rsidRDefault="00492BE5" w:rsidP="00AF752C">
      <w:pPr>
        <w:pStyle w:val="Sinespaciado"/>
        <w:jc w:val="both"/>
        <w:rPr>
          <w:rFonts w:ascii="Verdana" w:hAnsi="Verdana"/>
        </w:rPr>
      </w:pPr>
      <w:r w:rsidRPr="00AF752C">
        <w:rPr>
          <w:rFonts w:ascii="Verdana" w:hAnsi="Verdana"/>
        </w:rPr>
        <w:t>Con el fin de resolver el problema jurídico planteado por el peticionario, es importante señalar que, si bien las entidades del sector cooperativo forman parte del Régimen Tributario Especial del impuesto sobre la renta y complementarios, éstas se encuentran reguladas por lo dispuesto en el artículo 19-4 del Estatuto Tributario, norma que sobre la determinación del beneficio neto o excedente en su inciso segundo establece:</w:t>
      </w:r>
    </w:p>
    <w:p w14:paraId="0346E710" w14:textId="77777777" w:rsidR="00492BE5" w:rsidRDefault="00492BE5" w:rsidP="00AF752C">
      <w:pPr>
        <w:pStyle w:val="Sinespaciado"/>
        <w:jc w:val="both"/>
        <w:rPr>
          <w:rFonts w:ascii="Verdana" w:hAnsi="Verdana"/>
        </w:rPr>
      </w:pPr>
    </w:p>
    <w:p w14:paraId="3D352BFA" w14:textId="25B1933B" w:rsidR="005A56EF" w:rsidRPr="00492BE5" w:rsidRDefault="00492BE5" w:rsidP="00492BE5">
      <w:pPr>
        <w:pStyle w:val="Sinespaciado"/>
        <w:ind w:left="708"/>
        <w:jc w:val="both"/>
        <w:rPr>
          <w:rFonts w:ascii="Verdana" w:hAnsi="Verdana"/>
          <w:i/>
          <w:iCs/>
        </w:rPr>
      </w:pPr>
      <w:r>
        <w:rPr>
          <w:rFonts w:ascii="Verdana" w:hAnsi="Verdana"/>
          <w:i/>
          <w:iCs/>
        </w:rPr>
        <w:t>“</w:t>
      </w:r>
      <w:r w:rsidRPr="00492BE5">
        <w:rPr>
          <w:rFonts w:ascii="Verdana" w:hAnsi="Verdana"/>
          <w:i/>
          <w:iCs/>
        </w:rPr>
        <w:t xml:space="preserve">Artículo 19-4. Tributación sobre la renta de las </w:t>
      </w:r>
      <w:r w:rsidRPr="00492BE5">
        <w:rPr>
          <w:rStyle w:val="Cuerpodeltexto4Negrita"/>
          <w:rFonts w:ascii="Verdana" w:hAnsi="Verdana"/>
          <w:sz w:val="24"/>
          <w:szCs w:val="24"/>
        </w:rPr>
        <w:t>cooperativas</w:t>
      </w:r>
      <w:r>
        <w:rPr>
          <w:rFonts w:ascii="Verdana" w:hAnsi="Verdana"/>
          <w:i/>
          <w:iCs/>
        </w:rPr>
        <w:t>,</w:t>
      </w:r>
      <w:r w:rsidRPr="00492BE5">
        <w:rPr>
          <w:rFonts w:ascii="Verdana" w:hAnsi="Verdana"/>
          <w:i/>
          <w:iCs/>
        </w:rPr>
        <w:t xml:space="preserve"> Las </w:t>
      </w:r>
      <w:r w:rsidRPr="00492BE5">
        <w:rPr>
          <w:rStyle w:val="Cuerpodeltexto4Negrita"/>
          <w:rFonts w:ascii="Verdana" w:hAnsi="Verdana"/>
          <w:sz w:val="24"/>
          <w:szCs w:val="24"/>
        </w:rPr>
        <w:t>cooperativas</w:t>
      </w:r>
      <w:r w:rsidRPr="00492BE5">
        <w:rPr>
          <w:rFonts w:ascii="Verdana" w:hAnsi="Verdana"/>
          <w:i/>
          <w:iCs/>
        </w:rPr>
        <w:t xml:space="preserve">, sus asociaciones, uniones, ligas centrales, organismos de grado superior de carácter financiero, las </w:t>
      </w:r>
      <w:r w:rsidRPr="00492BE5">
        <w:rPr>
          <w:rFonts w:ascii="Verdana" w:hAnsi="Verdana"/>
          <w:i/>
          <w:iCs/>
        </w:rPr>
        <w:lastRenderedPageBreak/>
        <w:t xml:space="preserve">asociaciones mutualistas, instituciones auxiliares del cooperativismo, confederaciones </w:t>
      </w:r>
      <w:r w:rsidRPr="00492BE5">
        <w:rPr>
          <w:rStyle w:val="Cuerpodeltexto4Negrita"/>
          <w:rFonts w:ascii="Verdana" w:hAnsi="Verdana"/>
          <w:sz w:val="24"/>
          <w:szCs w:val="24"/>
        </w:rPr>
        <w:t>cooperativas</w:t>
      </w:r>
      <w:r w:rsidRPr="00492BE5">
        <w:rPr>
          <w:rFonts w:ascii="Verdana" w:hAnsi="Verdana"/>
          <w:i/>
          <w:iCs/>
        </w:rPr>
        <w:t>, previstas en la legislación cooperativa, vigilados por alguna superintendencia u organismo de control; pertenecen al Régimen Tributario Especial y tributan sobre sus beneficios netos o excedentes a la tarifa única especial del veinte por ciento (20%). El impuesto será tomado en su totalidad del Fondo de Educación y Solidaridad de que trata el artículo 54 de la Ley 79 de 1988.</w:t>
      </w:r>
    </w:p>
    <w:p w14:paraId="0446FFC0" w14:textId="77777777" w:rsidR="00492BE5" w:rsidRDefault="00492BE5" w:rsidP="00492BE5">
      <w:pPr>
        <w:pStyle w:val="Sinespaciado"/>
        <w:ind w:left="708"/>
        <w:jc w:val="both"/>
        <w:rPr>
          <w:rStyle w:val="Cuerpodeltexto4Negrita"/>
          <w:rFonts w:ascii="Verdana" w:hAnsi="Verdana"/>
          <w:sz w:val="24"/>
          <w:szCs w:val="24"/>
        </w:rPr>
      </w:pPr>
    </w:p>
    <w:p w14:paraId="55BFFB1D" w14:textId="5CE96C1C" w:rsidR="005A56EF" w:rsidRPr="00AF752C" w:rsidRDefault="00492BE5" w:rsidP="00492BE5">
      <w:pPr>
        <w:pStyle w:val="Sinespaciado"/>
        <w:ind w:left="708"/>
        <w:jc w:val="both"/>
        <w:rPr>
          <w:rFonts w:ascii="Verdana" w:hAnsi="Verdana"/>
        </w:rPr>
      </w:pPr>
      <w:r w:rsidRPr="00AF752C">
        <w:rPr>
          <w:rStyle w:val="Cuerpodeltexto4Negrita"/>
          <w:rFonts w:ascii="Verdana" w:hAnsi="Verdana"/>
          <w:sz w:val="24"/>
          <w:szCs w:val="24"/>
        </w:rPr>
        <w:t xml:space="preserve">Las cooperativas realizarán el cálculo de este beneficio neto o excedente de acuerdo con la ley y la normativa cooperativa vigente. </w:t>
      </w:r>
      <w:r w:rsidRPr="00492BE5">
        <w:rPr>
          <w:rFonts w:ascii="Verdana" w:hAnsi="Verdana"/>
          <w:i/>
          <w:iCs/>
        </w:rPr>
        <w:t>Las reservas legales a las cuales se encuentran obligadas estas entidades no podrán ser registradas como un gasto para</w:t>
      </w:r>
      <w:r w:rsidRPr="00492BE5">
        <w:rPr>
          <w:rFonts w:ascii="Verdana" w:hAnsi="Verdana"/>
          <w:i/>
          <w:iCs/>
        </w:rPr>
        <w:tab/>
        <w:t>la</w:t>
      </w:r>
      <w:r w:rsidRPr="00492BE5">
        <w:rPr>
          <w:rFonts w:ascii="Verdana" w:hAnsi="Verdana"/>
          <w:i/>
          <w:iCs/>
        </w:rPr>
        <w:tab/>
        <w:t>determinación</w:t>
      </w:r>
      <w:r w:rsidRPr="00492BE5">
        <w:rPr>
          <w:rFonts w:ascii="Verdana" w:hAnsi="Verdana"/>
          <w:i/>
          <w:iCs/>
        </w:rPr>
        <w:tab/>
        <w:t>del beneficio neto o excedente.</w:t>
      </w:r>
      <w:r>
        <w:rPr>
          <w:rFonts w:ascii="Verdana" w:hAnsi="Verdana"/>
          <w:i/>
          <w:iCs/>
        </w:rPr>
        <w:t xml:space="preserve"> </w:t>
      </w:r>
      <w:r w:rsidRPr="00AF752C">
        <w:rPr>
          <w:rStyle w:val="Cuerpodeltexto2105ptoCursiva"/>
          <w:rFonts w:ascii="Verdana" w:hAnsi="Verdana"/>
          <w:sz w:val="24"/>
          <w:szCs w:val="24"/>
        </w:rPr>
        <w:t>(</w:t>
      </w:r>
      <w:r>
        <w:rPr>
          <w:rStyle w:val="Cuerpodeltexto2105ptoCursiva"/>
          <w:rFonts w:ascii="Verdana" w:hAnsi="Verdana"/>
          <w:sz w:val="24"/>
          <w:szCs w:val="24"/>
        </w:rPr>
        <w:t>…</w:t>
      </w:r>
      <w:r w:rsidRPr="00AF752C">
        <w:rPr>
          <w:rStyle w:val="Cuerpodeltexto2105ptoCursiva"/>
          <w:rFonts w:ascii="Verdana" w:hAnsi="Verdana"/>
          <w:sz w:val="24"/>
          <w:szCs w:val="24"/>
        </w:rPr>
        <w:t>)</w:t>
      </w:r>
      <w:r>
        <w:rPr>
          <w:rStyle w:val="Cuerpodeltexto2105ptoCursiva"/>
          <w:rFonts w:ascii="Verdana" w:hAnsi="Verdana"/>
          <w:sz w:val="24"/>
          <w:szCs w:val="24"/>
        </w:rPr>
        <w:t xml:space="preserve">” </w:t>
      </w:r>
      <w:r w:rsidRPr="00AF752C">
        <w:rPr>
          <w:rFonts w:ascii="Verdana" w:hAnsi="Verdana"/>
        </w:rPr>
        <w:t>(Negrilla fuera del texto)</w:t>
      </w:r>
    </w:p>
    <w:p w14:paraId="57BFE1F4" w14:textId="77777777" w:rsidR="00492BE5" w:rsidRDefault="00492BE5" w:rsidP="00AF752C">
      <w:pPr>
        <w:pStyle w:val="Sinespaciado"/>
        <w:jc w:val="both"/>
        <w:rPr>
          <w:rFonts w:ascii="Verdana" w:hAnsi="Verdana"/>
        </w:rPr>
      </w:pPr>
    </w:p>
    <w:p w14:paraId="41116532" w14:textId="01E560D1" w:rsidR="005A56EF" w:rsidRPr="00AF752C" w:rsidRDefault="00492BE5" w:rsidP="00AF752C">
      <w:pPr>
        <w:pStyle w:val="Sinespaciado"/>
        <w:jc w:val="both"/>
        <w:rPr>
          <w:rFonts w:ascii="Verdana" w:hAnsi="Verdana"/>
        </w:rPr>
      </w:pPr>
      <w:r w:rsidRPr="00AF752C">
        <w:rPr>
          <w:rFonts w:ascii="Verdana" w:hAnsi="Verdana"/>
        </w:rPr>
        <w:t>En desarrollo de esta norma, el artículo 1.2.1.5.2.7. del Decreto 1625 de 2016, sobre la determinación del beneficio neto o excedente para las entidades del sector cooperativo de que trata el artículo 19-4 del Estatuto Tributario, precisa:</w:t>
      </w:r>
    </w:p>
    <w:p w14:paraId="420EC5C7" w14:textId="77777777" w:rsidR="00492BE5" w:rsidRDefault="00492BE5" w:rsidP="00AF752C">
      <w:pPr>
        <w:pStyle w:val="Sinespaciado"/>
        <w:jc w:val="both"/>
        <w:rPr>
          <w:rFonts w:ascii="Verdana" w:hAnsi="Verdana"/>
        </w:rPr>
      </w:pPr>
    </w:p>
    <w:p w14:paraId="53640AF3" w14:textId="5C1482EC" w:rsidR="005A56EF" w:rsidRPr="00492BE5" w:rsidRDefault="00492BE5" w:rsidP="00492BE5">
      <w:pPr>
        <w:pStyle w:val="Sinespaciado"/>
        <w:ind w:left="708"/>
        <w:jc w:val="both"/>
        <w:rPr>
          <w:rFonts w:ascii="Verdana" w:hAnsi="Verdana"/>
        </w:rPr>
      </w:pPr>
      <w:r w:rsidRPr="00492BE5">
        <w:rPr>
          <w:rFonts w:ascii="Verdana" w:hAnsi="Verdana"/>
          <w:i/>
          <w:iCs/>
        </w:rPr>
        <w:t xml:space="preserve">“Artículo 1.2.1.5.2.7. Determinación del beneficio neto o excedente para los contribuyentes de que trata el artículo </w:t>
      </w:r>
      <w:r w:rsidRPr="00492BE5">
        <w:rPr>
          <w:rStyle w:val="Cuerpodeltexto4Negrita"/>
          <w:rFonts w:ascii="Verdana" w:hAnsi="Verdana"/>
          <w:sz w:val="24"/>
          <w:szCs w:val="24"/>
        </w:rPr>
        <w:t xml:space="preserve">19-4 </w:t>
      </w:r>
      <w:r w:rsidRPr="00492BE5">
        <w:rPr>
          <w:rFonts w:ascii="Verdana" w:hAnsi="Verdana"/>
          <w:i/>
          <w:iCs/>
        </w:rPr>
        <w:t xml:space="preserve">del Estatuto Tributario. Los contribuyentes del Régimen Tributario Especial de que tratan los artículos </w:t>
      </w:r>
      <w:r w:rsidRPr="00492BE5">
        <w:rPr>
          <w:rStyle w:val="Cuerpodeltexto4Negrita"/>
          <w:rFonts w:ascii="Verdana" w:hAnsi="Verdana"/>
          <w:sz w:val="24"/>
          <w:szCs w:val="24"/>
        </w:rPr>
        <w:t>19-4</w:t>
      </w:r>
      <w:r w:rsidRPr="00492BE5">
        <w:rPr>
          <w:rStyle w:val="Cuerpodeltexto4Negrita"/>
          <w:rFonts w:ascii="Verdana" w:hAnsi="Verdana"/>
          <w:i w:val="0"/>
          <w:iCs w:val="0"/>
          <w:sz w:val="24"/>
          <w:szCs w:val="24"/>
        </w:rPr>
        <w:t xml:space="preserve"> </w:t>
      </w:r>
      <w:r w:rsidRPr="00492BE5">
        <w:rPr>
          <w:rFonts w:ascii="Verdana" w:hAnsi="Verdana"/>
          <w:i/>
          <w:iCs/>
        </w:rPr>
        <w:t>del Estatuto Tributario y 1.2.1.52.1. de este Decreto calcularán el beneficio neto o excedente</w:t>
      </w:r>
      <w:r>
        <w:rPr>
          <w:rFonts w:ascii="Verdana" w:hAnsi="Verdana"/>
          <w:i/>
          <w:iCs/>
        </w:rPr>
        <w:t xml:space="preserve"> </w:t>
      </w:r>
      <w:r w:rsidRPr="00492BE5">
        <w:rPr>
          <w:rStyle w:val="Cuerpodeltexto4Negrita"/>
          <w:rFonts w:ascii="Verdana" w:hAnsi="Verdana"/>
          <w:sz w:val="24"/>
          <w:szCs w:val="24"/>
        </w:rPr>
        <w:t>de</w:t>
      </w:r>
      <w:r>
        <w:rPr>
          <w:rStyle w:val="Cuerpodeltexto4Negrita"/>
          <w:rFonts w:ascii="Verdana" w:hAnsi="Verdana"/>
          <w:sz w:val="24"/>
          <w:szCs w:val="24"/>
        </w:rPr>
        <w:t xml:space="preserve"> </w:t>
      </w:r>
      <w:r w:rsidRPr="00492BE5">
        <w:rPr>
          <w:rStyle w:val="Cuerpodeltexto4Negrita"/>
          <w:rFonts w:ascii="Verdana" w:hAnsi="Verdana"/>
          <w:sz w:val="24"/>
          <w:szCs w:val="24"/>
        </w:rPr>
        <w:t>conformidad</w:t>
      </w:r>
      <w:r>
        <w:rPr>
          <w:rStyle w:val="Cuerpodeltexto4Negrita"/>
          <w:rFonts w:ascii="Verdana" w:hAnsi="Verdana"/>
          <w:sz w:val="24"/>
          <w:szCs w:val="24"/>
        </w:rPr>
        <w:t xml:space="preserve"> </w:t>
      </w:r>
      <w:r w:rsidRPr="00492BE5">
        <w:rPr>
          <w:rStyle w:val="Cuerpodeltexto4Negrita"/>
          <w:rFonts w:ascii="Verdana" w:hAnsi="Verdana"/>
          <w:sz w:val="24"/>
          <w:szCs w:val="24"/>
        </w:rPr>
        <w:t>con</w:t>
      </w:r>
      <w:r>
        <w:rPr>
          <w:rStyle w:val="Cuerpodeltexto4Negrita"/>
          <w:rFonts w:ascii="Verdana" w:hAnsi="Verdana"/>
          <w:sz w:val="24"/>
          <w:szCs w:val="24"/>
        </w:rPr>
        <w:t xml:space="preserve"> </w:t>
      </w:r>
      <w:r w:rsidRPr="00492BE5">
        <w:rPr>
          <w:rStyle w:val="Cuerpodeltexto4Negrita"/>
          <w:rFonts w:ascii="Verdana" w:hAnsi="Verdana"/>
          <w:sz w:val="24"/>
          <w:szCs w:val="24"/>
        </w:rPr>
        <w:t>los</w:t>
      </w:r>
      <w:r>
        <w:rPr>
          <w:rStyle w:val="Cuerpodeltexto4Negrita"/>
          <w:rFonts w:ascii="Verdana" w:hAnsi="Verdana"/>
          <w:sz w:val="24"/>
          <w:szCs w:val="24"/>
        </w:rPr>
        <w:t xml:space="preserve"> </w:t>
      </w:r>
      <w:r w:rsidRPr="00492BE5">
        <w:rPr>
          <w:rStyle w:val="Cuerpodeltexto4Negrita"/>
          <w:rFonts w:ascii="Verdana" w:hAnsi="Verdana"/>
          <w:sz w:val="24"/>
          <w:szCs w:val="24"/>
        </w:rPr>
        <w:t>marcos</w:t>
      </w:r>
      <w:r>
        <w:rPr>
          <w:rStyle w:val="Cuerpodeltexto4Negrita"/>
          <w:rFonts w:ascii="Verdana" w:hAnsi="Verdana"/>
          <w:sz w:val="24"/>
          <w:szCs w:val="24"/>
        </w:rPr>
        <w:t xml:space="preserve"> </w:t>
      </w:r>
      <w:r w:rsidRPr="00492BE5">
        <w:rPr>
          <w:rStyle w:val="Cuerpodeltexto4Negrita"/>
          <w:rFonts w:ascii="Verdana" w:hAnsi="Verdana"/>
          <w:sz w:val="24"/>
          <w:szCs w:val="24"/>
        </w:rPr>
        <w:t>técnicos</w:t>
      </w:r>
      <w:r>
        <w:rPr>
          <w:rStyle w:val="Cuerpodeltexto4Negrita"/>
          <w:rFonts w:ascii="Verdana" w:hAnsi="Verdana"/>
          <w:sz w:val="24"/>
          <w:szCs w:val="24"/>
        </w:rPr>
        <w:t xml:space="preserve"> </w:t>
      </w:r>
      <w:r w:rsidRPr="00492BE5">
        <w:rPr>
          <w:rStyle w:val="Cuerpodeltexto4Negrita"/>
          <w:rFonts w:ascii="Verdana" w:hAnsi="Verdana"/>
          <w:sz w:val="24"/>
          <w:szCs w:val="24"/>
        </w:rPr>
        <w:t>normativos</w:t>
      </w:r>
      <w:r>
        <w:rPr>
          <w:rStyle w:val="Cuerpodeltexto4Negrita"/>
          <w:rFonts w:ascii="Verdana" w:hAnsi="Verdana"/>
          <w:sz w:val="24"/>
          <w:szCs w:val="24"/>
        </w:rPr>
        <w:t xml:space="preserve"> </w:t>
      </w:r>
      <w:r w:rsidRPr="00492BE5">
        <w:rPr>
          <w:rStyle w:val="Cuerpodeltexto4Negrita"/>
          <w:rFonts w:ascii="Verdana" w:hAnsi="Verdana"/>
          <w:sz w:val="24"/>
          <w:szCs w:val="24"/>
        </w:rPr>
        <w:t>contables</w:t>
      </w:r>
      <w:r>
        <w:rPr>
          <w:rStyle w:val="Cuerpodeltexto4Negrita"/>
          <w:rFonts w:ascii="Verdana" w:hAnsi="Verdana"/>
          <w:sz w:val="24"/>
          <w:szCs w:val="24"/>
        </w:rPr>
        <w:t xml:space="preserve"> </w:t>
      </w:r>
      <w:r w:rsidRPr="00492BE5">
        <w:rPr>
          <w:rStyle w:val="Cuerpodeltexto4Negrita"/>
          <w:rFonts w:ascii="Verdana" w:hAnsi="Verdana"/>
          <w:sz w:val="24"/>
          <w:szCs w:val="24"/>
        </w:rPr>
        <w:t>que</w:t>
      </w:r>
      <w:r>
        <w:rPr>
          <w:rStyle w:val="Cuerpodeltexto4Negrita"/>
          <w:rFonts w:ascii="Verdana" w:hAnsi="Verdana"/>
          <w:sz w:val="24"/>
          <w:szCs w:val="24"/>
        </w:rPr>
        <w:t xml:space="preserve"> </w:t>
      </w:r>
      <w:r w:rsidRPr="00492BE5">
        <w:rPr>
          <w:rStyle w:val="Cuerpodeltexto4Negrita"/>
          <w:rFonts w:ascii="Verdana" w:hAnsi="Verdana"/>
          <w:sz w:val="24"/>
          <w:szCs w:val="24"/>
        </w:rPr>
        <w:t>resulten</w:t>
      </w:r>
      <w:r>
        <w:rPr>
          <w:rStyle w:val="Cuerpodeltexto4Negrita"/>
          <w:rFonts w:ascii="Verdana" w:hAnsi="Verdana"/>
          <w:sz w:val="24"/>
          <w:szCs w:val="24"/>
        </w:rPr>
        <w:t xml:space="preserve"> </w:t>
      </w:r>
      <w:r w:rsidRPr="00492BE5">
        <w:rPr>
          <w:rStyle w:val="Cuerpodeltexto4Negrita"/>
          <w:rFonts w:ascii="Verdana" w:hAnsi="Verdana"/>
          <w:sz w:val="24"/>
          <w:szCs w:val="24"/>
        </w:rPr>
        <w:t>aplicables</w:t>
      </w:r>
      <w:r>
        <w:rPr>
          <w:rStyle w:val="Cuerpodeltexto4Negrita"/>
          <w:rFonts w:ascii="Verdana" w:hAnsi="Verdana"/>
          <w:sz w:val="24"/>
          <w:szCs w:val="24"/>
        </w:rPr>
        <w:t xml:space="preserve"> </w:t>
      </w:r>
      <w:r w:rsidRPr="00492BE5">
        <w:rPr>
          <w:rStyle w:val="Cuerpodeltexto4Negrita"/>
          <w:rFonts w:ascii="Verdana" w:hAnsi="Verdana"/>
          <w:sz w:val="24"/>
          <w:szCs w:val="24"/>
        </w:rPr>
        <w:t>a</w:t>
      </w:r>
      <w:r>
        <w:rPr>
          <w:rStyle w:val="Cuerpodeltexto4Negrita"/>
          <w:rFonts w:ascii="Verdana" w:hAnsi="Verdana"/>
          <w:sz w:val="24"/>
          <w:szCs w:val="24"/>
        </w:rPr>
        <w:t xml:space="preserve"> </w:t>
      </w:r>
      <w:r w:rsidRPr="00492BE5">
        <w:rPr>
          <w:rStyle w:val="Cuerpodeltexto4Negrita"/>
          <w:rFonts w:ascii="Verdana" w:hAnsi="Verdana"/>
          <w:sz w:val="24"/>
          <w:szCs w:val="24"/>
        </w:rPr>
        <w:t>los</w:t>
      </w:r>
      <w:r>
        <w:rPr>
          <w:rStyle w:val="Cuerpodeltexto4Negrita"/>
          <w:rFonts w:ascii="Verdana" w:hAnsi="Verdana"/>
          <w:sz w:val="24"/>
          <w:szCs w:val="24"/>
        </w:rPr>
        <w:t xml:space="preserve"> </w:t>
      </w:r>
      <w:r w:rsidRPr="00492BE5">
        <w:rPr>
          <w:rStyle w:val="Cuerpodeltexto4Negrita"/>
          <w:rFonts w:ascii="Verdana" w:hAnsi="Verdana"/>
          <w:sz w:val="24"/>
          <w:szCs w:val="24"/>
        </w:rPr>
        <w:t>contribuyentes</w:t>
      </w:r>
      <w:r>
        <w:rPr>
          <w:rStyle w:val="Cuerpodeltexto4Negrita"/>
          <w:rFonts w:ascii="Verdana" w:hAnsi="Verdana"/>
          <w:sz w:val="24"/>
          <w:szCs w:val="24"/>
        </w:rPr>
        <w:t xml:space="preserve"> </w:t>
      </w:r>
      <w:r w:rsidRPr="00492BE5">
        <w:rPr>
          <w:rStyle w:val="Cuerpodeltexto4Negrita"/>
          <w:rFonts w:ascii="Verdana" w:hAnsi="Verdana"/>
          <w:sz w:val="24"/>
          <w:szCs w:val="24"/>
        </w:rPr>
        <w:t>de</w:t>
      </w:r>
      <w:r>
        <w:rPr>
          <w:rStyle w:val="Cuerpodeltexto4Negrita"/>
          <w:rFonts w:ascii="Verdana" w:hAnsi="Verdana"/>
          <w:sz w:val="24"/>
          <w:szCs w:val="24"/>
        </w:rPr>
        <w:t xml:space="preserve"> </w:t>
      </w:r>
      <w:r w:rsidRPr="00492BE5">
        <w:rPr>
          <w:rStyle w:val="Cuerpodeltexto4Negrita"/>
          <w:rFonts w:ascii="Verdana" w:hAnsi="Verdana"/>
          <w:sz w:val="24"/>
          <w:szCs w:val="24"/>
        </w:rPr>
        <w:t>que</w:t>
      </w:r>
      <w:r>
        <w:rPr>
          <w:rStyle w:val="Cuerpodeltexto4Negrita"/>
          <w:rFonts w:ascii="Verdana" w:hAnsi="Verdana"/>
          <w:sz w:val="24"/>
          <w:szCs w:val="24"/>
        </w:rPr>
        <w:t xml:space="preserve"> </w:t>
      </w:r>
      <w:r w:rsidRPr="00492BE5">
        <w:rPr>
          <w:rStyle w:val="Cuerpodeltexto4Negrita"/>
          <w:rFonts w:ascii="Verdana" w:hAnsi="Verdana"/>
          <w:sz w:val="24"/>
          <w:szCs w:val="24"/>
        </w:rPr>
        <w:t>trata</w:t>
      </w:r>
      <w:r>
        <w:rPr>
          <w:rStyle w:val="Cuerpodeltexto4Negrita"/>
          <w:rFonts w:ascii="Verdana" w:hAnsi="Verdana"/>
          <w:sz w:val="24"/>
          <w:szCs w:val="24"/>
        </w:rPr>
        <w:t xml:space="preserve"> </w:t>
      </w:r>
      <w:r w:rsidRPr="00492BE5">
        <w:rPr>
          <w:rStyle w:val="Cuerpodeltexto4Negrita"/>
          <w:rFonts w:ascii="Verdana" w:hAnsi="Verdana"/>
          <w:sz w:val="24"/>
          <w:szCs w:val="24"/>
        </w:rPr>
        <w:t>la</w:t>
      </w:r>
      <w:r>
        <w:rPr>
          <w:rStyle w:val="Cuerpodeltexto4Negrita"/>
          <w:rFonts w:ascii="Verdana" w:hAnsi="Verdana"/>
          <w:sz w:val="24"/>
          <w:szCs w:val="24"/>
        </w:rPr>
        <w:t xml:space="preserve"> </w:t>
      </w:r>
      <w:r w:rsidRPr="00492BE5">
        <w:rPr>
          <w:rStyle w:val="Cuerpodeltexto4Negrita"/>
          <w:rFonts w:ascii="Verdana" w:hAnsi="Verdana"/>
          <w:sz w:val="24"/>
          <w:szCs w:val="24"/>
        </w:rPr>
        <w:t>presente</w:t>
      </w:r>
      <w:r>
        <w:rPr>
          <w:rStyle w:val="Cuerpodeltexto4Negrita"/>
          <w:rFonts w:ascii="Verdana" w:hAnsi="Verdana"/>
          <w:sz w:val="24"/>
          <w:szCs w:val="24"/>
        </w:rPr>
        <w:t xml:space="preserve"> </w:t>
      </w:r>
      <w:r w:rsidRPr="00492BE5">
        <w:rPr>
          <w:rStyle w:val="Cuerpodeltexto4Negrita"/>
          <w:rFonts w:ascii="Verdana" w:hAnsi="Verdana"/>
          <w:sz w:val="24"/>
          <w:szCs w:val="24"/>
        </w:rPr>
        <w:t>Sección.</w:t>
      </w:r>
    </w:p>
    <w:p w14:paraId="1240E1F0" w14:textId="77777777" w:rsidR="00492BE5" w:rsidRDefault="00492BE5" w:rsidP="00492BE5">
      <w:pPr>
        <w:pStyle w:val="Sinespaciado"/>
        <w:ind w:left="708"/>
        <w:jc w:val="both"/>
        <w:rPr>
          <w:rFonts w:ascii="Verdana" w:hAnsi="Verdana"/>
          <w:i/>
          <w:iCs/>
        </w:rPr>
      </w:pPr>
    </w:p>
    <w:p w14:paraId="4004F9AC" w14:textId="19EF73F9" w:rsidR="005A56EF" w:rsidRPr="00492BE5" w:rsidRDefault="00492BE5" w:rsidP="00492BE5">
      <w:pPr>
        <w:pStyle w:val="Sinespaciado"/>
        <w:ind w:left="708"/>
        <w:jc w:val="both"/>
        <w:rPr>
          <w:rFonts w:ascii="Verdana" w:hAnsi="Verdana"/>
          <w:i/>
          <w:iCs/>
        </w:rPr>
      </w:pPr>
      <w:r w:rsidRPr="00492BE5">
        <w:rPr>
          <w:rFonts w:ascii="Verdana" w:hAnsi="Verdana"/>
          <w:i/>
          <w:iCs/>
        </w:rPr>
        <w:t>Parágrafo 1°. Para las Cooperativas de Trabajo Asociado constituye ingreso gravable por la prestación de servicios el valor que quedare una vez descontado el monto de las compensaciones ordinarias y extraordinarias pagadas efectivamente a los trabajadores asociados cooperados, de conformidad con el reglamento de compensaciones, sin perjuicio de la obligación de declarar la totalidad de los ingresos percibidos por otros conceptos. Lo anterior de conformidad con lo previsto en el artículo 102-3 del Estatuto Tributario.</w:t>
      </w:r>
    </w:p>
    <w:p w14:paraId="524851F5" w14:textId="77777777" w:rsidR="00492BE5" w:rsidRDefault="00492BE5" w:rsidP="00492BE5">
      <w:pPr>
        <w:pStyle w:val="Sinespaciado"/>
        <w:ind w:left="708"/>
        <w:jc w:val="both"/>
        <w:rPr>
          <w:rFonts w:ascii="Verdana" w:hAnsi="Verdana"/>
          <w:i/>
          <w:iCs/>
        </w:rPr>
      </w:pPr>
    </w:p>
    <w:p w14:paraId="19EB1CD2" w14:textId="5E287CCB" w:rsidR="005A56EF" w:rsidRPr="00492BE5" w:rsidRDefault="00492BE5" w:rsidP="00492BE5">
      <w:pPr>
        <w:pStyle w:val="Sinespaciado"/>
        <w:ind w:left="708"/>
        <w:jc w:val="both"/>
        <w:rPr>
          <w:rFonts w:ascii="Verdana" w:hAnsi="Verdana"/>
          <w:i/>
          <w:iCs/>
        </w:rPr>
      </w:pPr>
      <w:r w:rsidRPr="00492BE5">
        <w:rPr>
          <w:rFonts w:ascii="Verdana" w:hAnsi="Verdana"/>
          <w:i/>
          <w:iCs/>
        </w:rPr>
        <w:t>Parágrafo 2°. Para la procedencia de los egresos realizados en el respectivo periodo gravable que tengan relación de causalidad con los ingresos o con el objeto social, deberá tenerse en cuenta los requisitos señalados en los artículos 87-1, 107, 107-1, 108, 177-</w:t>
      </w:r>
      <w:r w:rsidRPr="00492BE5">
        <w:rPr>
          <w:rFonts w:ascii="Verdana" w:hAnsi="Verdana"/>
          <w:i/>
          <w:iCs/>
        </w:rPr>
        <w:lastRenderedPageBreak/>
        <w:t>1, 177-2, 771-2 y 771-3 del Estatuto Tributario, sin perjuicio de acreditar la correspondiente retención en la fuente a título del impuesto sobre la renta y complementario, cuando hubiere lugar a ello.</w:t>
      </w:r>
    </w:p>
    <w:p w14:paraId="49226B1A" w14:textId="77777777" w:rsidR="00492BE5" w:rsidRDefault="00492BE5" w:rsidP="00492BE5">
      <w:pPr>
        <w:pStyle w:val="Sinespaciado"/>
        <w:ind w:left="708"/>
        <w:jc w:val="both"/>
        <w:rPr>
          <w:rFonts w:ascii="Verdana" w:hAnsi="Verdana"/>
          <w:i/>
          <w:iCs/>
        </w:rPr>
      </w:pPr>
    </w:p>
    <w:p w14:paraId="6BBD55E4" w14:textId="3B7D1885" w:rsidR="005A56EF" w:rsidRPr="00492BE5" w:rsidRDefault="00492BE5" w:rsidP="00492BE5">
      <w:pPr>
        <w:pStyle w:val="Sinespaciado"/>
        <w:ind w:left="708"/>
        <w:jc w:val="both"/>
        <w:rPr>
          <w:rFonts w:ascii="Verdana" w:hAnsi="Verdana"/>
          <w:i/>
          <w:iCs/>
        </w:rPr>
      </w:pPr>
      <w:r w:rsidRPr="00492BE5">
        <w:rPr>
          <w:rFonts w:ascii="Verdana" w:hAnsi="Verdana"/>
          <w:i/>
          <w:iCs/>
        </w:rPr>
        <w:t>Parágrafo 3°. La ejecución de beneficios netos o excedentes de años anteriores no constituye egreso o inversión del ejercicio.</w:t>
      </w:r>
    </w:p>
    <w:p w14:paraId="15167902" w14:textId="77777777" w:rsidR="00492BE5" w:rsidRDefault="00492BE5" w:rsidP="00492BE5">
      <w:pPr>
        <w:pStyle w:val="Sinespaciado"/>
        <w:ind w:left="708"/>
        <w:jc w:val="both"/>
        <w:rPr>
          <w:rFonts w:ascii="Verdana" w:hAnsi="Verdana"/>
          <w:i/>
          <w:iCs/>
        </w:rPr>
      </w:pPr>
    </w:p>
    <w:p w14:paraId="5994EF1B" w14:textId="335320C0" w:rsidR="005A56EF" w:rsidRPr="00AF752C" w:rsidRDefault="00492BE5" w:rsidP="00492BE5">
      <w:pPr>
        <w:pStyle w:val="Sinespaciado"/>
        <w:ind w:left="708"/>
        <w:jc w:val="both"/>
        <w:rPr>
          <w:rFonts w:ascii="Verdana" w:hAnsi="Verdana"/>
        </w:rPr>
      </w:pPr>
      <w:r w:rsidRPr="00492BE5">
        <w:rPr>
          <w:rFonts w:ascii="Verdana" w:hAnsi="Verdana"/>
          <w:i/>
          <w:iCs/>
        </w:rPr>
        <w:t>Parágrafo 4°. Los sujetos a que se refiere esta sección que sean excluidos del Régimen Tributario Especial del impuesto sobre la renta y complementario determinarán su beneficio neto o excedente fiscal aplicando las normas generales del Estatuto Tributario para los obligados a llevar contabilidad.</w:t>
      </w:r>
      <w:r>
        <w:rPr>
          <w:rFonts w:ascii="Verdana" w:hAnsi="Verdana"/>
          <w:i/>
          <w:iCs/>
        </w:rPr>
        <w:t>”</w:t>
      </w:r>
      <w:r w:rsidRPr="00492BE5">
        <w:rPr>
          <w:rStyle w:val="Cuerpodeltexto4Sincursiva"/>
          <w:rFonts w:ascii="Verdana" w:hAnsi="Verdana"/>
          <w:i w:val="0"/>
          <w:iCs w:val="0"/>
          <w:sz w:val="24"/>
          <w:szCs w:val="24"/>
        </w:rPr>
        <w:t xml:space="preserve"> </w:t>
      </w:r>
      <w:r w:rsidRPr="00492BE5">
        <w:rPr>
          <w:rStyle w:val="Cuerpodeltexto410ptoSincursiva"/>
          <w:rFonts w:ascii="Verdana" w:hAnsi="Verdana"/>
          <w:i w:val="0"/>
          <w:iCs w:val="0"/>
          <w:sz w:val="24"/>
          <w:szCs w:val="24"/>
        </w:rPr>
        <w:t>(Negrilla fuera del texto)</w:t>
      </w:r>
    </w:p>
    <w:p w14:paraId="30CEE064" w14:textId="77777777" w:rsidR="00492BE5" w:rsidRDefault="00492BE5" w:rsidP="00AF752C">
      <w:pPr>
        <w:pStyle w:val="Sinespaciado"/>
        <w:jc w:val="both"/>
        <w:rPr>
          <w:rFonts w:ascii="Verdana" w:hAnsi="Verdana"/>
        </w:rPr>
      </w:pPr>
    </w:p>
    <w:p w14:paraId="41A5D293" w14:textId="171C394C" w:rsidR="005A56EF" w:rsidRPr="00AF752C" w:rsidRDefault="00492BE5" w:rsidP="00AF752C">
      <w:pPr>
        <w:pStyle w:val="Sinespaciado"/>
        <w:jc w:val="both"/>
        <w:rPr>
          <w:rFonts w:ascii="Verdana" w:hAnsi="Verdana"/>
        </w:rPr>
      </w:pPr>
      <w:r w:rsidRPr="00AF752C">
        <w:rPr>
          <w:rFonts w:ascii="Verdana" w:hAnsi="Verdana"/>
        </w:rPr>
        <w:t>Nótese como tanto lo dispuesto por la ley como el reglamento lo que hacen es reconocer, respecto de las entidades del artículo 19-4 del Estatuto Tributario, que la determinación de su beneficio neto o excedente es diferente a lo dispuesto para las otras entidades del Régimen Tributario Especial y que se deberá acudir a lo dispuesto en los marcos técnicos normativos contables que les resulten aplicables.</w:t>
      </w:r>
    </w:p>
    <w:p w14:paraId="43D32084" w14:textId="77777777" w:rsidR="00492BE5" w:rsidRDefault="00492BE5" w:rsidP="00AF752C">
      <w:pPr>
        <w:pStyle w:val="Sinespaciado"/>
        <w:jc w:val="both"/>
        <w:rPr>
          <w:rFonts w:ascii="Verdana" w:hAnsi="Verdana"/>
        </w:rPr>
      </w:pPr>
    </w:p>
    <w:p w14:paraId="118C1D3C" w14:textId="13991A87" w:rsidR="005A56EF" w:rsidRPr="00AF752C" w:rsidRDefault="00492BE5" w:rsidP="00AF752C">
      <w:pPr>
        <w:pStyle w:val="Sinespaciado"/>
        <w:jc w:val="both"/>
        <w:rPr>
          <w:rFonts w:ascii="Verdana" w:hAnsi="Verdana"/>
        </w:rPr>
      </w:pPr>
      <w:r w:rsidRPr="00AF752C">
        <w:rPr>
          <w:rFonts w:ascii="Verdana" w:hAnsi="Verdana"/>
        </w:rPr>
        <w:t xml:space="preserve">Es por esta razón que no es posible hablar del término </w:t>
      </w:r>
      <w:r>
        <w:rPr>
          <w:rFonts w:ascii="Verdana" w:hAnsi="Verdana"/>
        </w:rPr>
        <w:t>“</w:t>
      </w:r>
      <w:r w:rsidRPr="00AF752C">
        <w:rPr>
          <w:rFonts w:ascii="Verdana" w:hAnsi="Verdana"/>
        </w:rPr>
        <w:t>deducción</w:t>
      </w:r>
      <w:r>
        <w:rPr>
          <w:rFonts w:ascii="Verdana" w:hAnsi="Verdana"/>
        </w:rPr>
        <w:t>”</w:t>
      </w:r>
      <w:r w:rsidRPr="00AF752C">
        <w:rPr>
          <w:rFonts w:ascii="Verdana" w:hAnsi="Verdana"/>
        </w:rPr>
        <w:t xml:space="preserve"> como lo señala el peticionario, </w:t>
      </w:r>
      <w:r w:rsidRPr="00AF752C">
        <w:rPr>
          <w:rStyle w:val="Cuerpodeltexto21"/>
          <w:rFonts w:ascii="Verdana" w:hAnsi="Verdana"/>
          <w:sz w:val="24"/>
          <w:szCs w:val="24"/>
        </w:rPr>
        <w:t>sino que debe realizarse la determinación del beneficio con base en el marco contable correspondiente</w:t>
      </w:r>
      <w:r w:rsidRPr="00AF752C">
        <w:rPr>
          <w:rFonts w:ascii="Verdana" w:hAnsi="Verdana"/>
        </w:rPr>
        <w:t>.</w:t>
      </w:r>
    </w:p>
    <w:p w14:paraId="2C2B9078" w14:textId="77777777" w:rsidR="00492BE5" w:rsidRDefault="00492BE5" w:rsidP="00AF752C">
      <w:pPr>
        <w:pStyle w:val="Sinespaciado"/>
        <w:jc w:val="both"/>
        <w:rPr>
          <w:rFonts w:ascii="Verdana" w:hAnsi="Verdana"/>
        </w:rPr>
      </w:pPr>
    </w:p>
    <w:p w14:paraId="474A3361" w14:textId="592DFA71" w:rsidR="005A56EF" w:rsidRPr="00AF752C" w:rsidRDefault="00492BE5" w:rsidP="00AF752C">
      <w:pPr>
        <w:pStyle w:val="Sinespaciado"/>
        <w:jc w:val="both"/>
        <w:rPr>
          <w:rFonts w:ascii="Verdana" w:hAnsi="Verdana"/>
        </w:rPr>
      </w:pPr>
      <w:r w:rsidRPr="00AF752C">
        <w:rPr>
          <w:rFonts w:ascii="Verdana" w:hAnsi="Verdana"/>
        </w:rPr>
        <w:t xml:space="preserve">Teniendo en cuenta lo anterior, este Despacho remitirá su consulta por competencia al Consejo Técnico de la Contaduría Pública y a la Superintendencia de la Economía Solidaria con el fin que estas entidades determinen si las Circulares No. 11 y 17 de 2020 forman parte de </w:t>
      </w:r>
      <w:r>
        <w:rPr>
          <w:rFonts w:ascii="Verdana" w:hAnsi="Verdana"/>
          <w:i/>
          <w:iCs/>
        </w:rPr>
        <w:t>“</w:t>
      </w:r>
      <w:r w:rsidRPr="00492BE5">
        <w:rPr>
          <w:rFonts w:ascii="Verdana" w:hAnsi="Verdana"/>
          <w:i/>
          <w:iCs/>
        </w:rPr>
        <w:t xml:space="preserve">los </w:t>
      </w:r>
      <w:r w:rsidRPr="00AF752C">
        <w:rPr>
          <w:rStyle w:val="Cuerpodeltexto2105ptoCursiva"/>
          <w:rFonts w:ascii="Verdana" w:hAnsi="Verdana"/>
          <w:sz w:val="24"/>
          <w:szCs w:val="24"/>
        </w:rPr>
        <w:t>marcos técnicos normativos contables que resulten aplicables a los contribuyentes</w:t>
      </w:r>
      <w:r>
        <w:rPr>
          <w:rStyle w:val="Cuerpodeltexto2105ptoCursiva"/>
          <w:rFonts w:ascii="Verdana" w:hAnsi="Verdana"/>
          <w:sz w:val="24"/>
          <w:szCs w:val="24"/>
        </w:rPr>
        <w:t xml:space="preserve">” </w:t>
      </w:r>
      <w:r w:rsidRPr="00AF752C">
        <w:rPr>
          <w:rFonts w:ascii="Verdana" w:hAnsi="Verdana"/>
        </w:rPr>
        <w:t xml:space="preserve">del sector cooperativo y de </w:t>
      </w:r>
      <w:r w:rsidRPr="00492BE5">
        <w:rPr>
          <w:rStyle w:val="Cuerpodeltexto2105ptoNegritaCursiva"/>
          <w:rFonts w:ascii="Verdana" w:hAnsi="Verdana"/>
          <w:b w:val="0"/>
          <w:bCs w:val="0"/>
          <w:sz w:val="24"/>
          <w:szCs w:val="24"/>
        </w:rPr>
        <w:t>“</w:t>
      </w:r>
      <w:r w:rsidRPr="00AF752C">
        <w:rPr>
          <w:rStyle w:val="Cuerpodeltexto2105ptoCursiva"/>
          <w:rFonts w:ascii="Verdana" w:hAnsi="Verdana"/>
          <w:sz w:val="24"/>
          <w:szCs w:val="24"/>
        </w:rPr>
        <w:t>la ley y la normativa cooperativa vigente”</w:t>
      </w:r>
      <w:r w:rsidRPr="00492BE5">
        <w:rPr>
          <w:rStyle w:val="Cuerpodeltexto2105ptoNegritaCursiva"/>
          <w:rFonts w:ascii="Verdana" w:hAnsi="Verdana"/>
          <w:b w:val="0"/>
          <w:bCs w:val="0"/>
          <w:sz w:val="24"/>
          <w:szCs w:val="24"/>
        </w:rPr>
        <w:t>,</w:t>
      </w:r>
      <w:r w:rsidRPr="00AF752C">
        <w:rPr>
          <w:rStyle w:val="Cuerpodeltexto2105ptoNegritaCursiva"/>
          <w:rFonts w:ascii="Verdana" w:hAnsi="Verdana"/>
          <w:sz w:val="24"/>
          <w:szCs w:val="24"/>
        </w:rPr>
        <w:t xml:space="preserve"> </w:t>
      </w:r>
      <w:r w:rsidRPr="00AF752C">
        <w:rPr>
          <w:rFonts w:ascii="Verdana" w:hAnsi="Verdana"/>
        </w:rPr>
        <w:t>respectivamente.</w:t>
      </w:r>
    </w:p>
    <w:p w14:paraId="61BA1C31" w14:textId="77777777" w:rsidR="00492BE5" w:rsidRDefault="00492BE5" w:rsidP="00AF752C">
      <w:pPr>
        <w:pStyle w:val="Sinespaciado"/>
        <w:jc w:val="both"/>
        <w:rPr>
          <w:rFonts w:ascii="Verdana" w:hAnsi="Verdana"/>
        </w:rPr>
      </w:pPr>
    </w:p>
    <w:p w14:paraId="04A1ED01" w14:textId="53EDB809" w:rsidR="005A56EF" w:rsidRPr="00AF752C" w:rsidRDefault="00492BE5" w:rsidP="00AF752C">
      <w:pPr>
        <w:pStyle w:val="Sinespaciado"/>
        <w:jc w:val="both"/>
        <w:rPr>
          <w:rFonts w:ascii="Verdana" w:hAnsi="Verdana"/>
        </w:rPr>
      </w:pPr>
      <w:r w:rsidRPr="00AF752C">
        <w:rPr>
          <w:rFonts w:ascii="Verdana" w:hAnsi="Verdana"/>
        </w:rPr>
        <w:t>Con base en la respuesta de dichas entidades, este Despacho dará alcance al presente oficio, con el fin de atender la consulta de la peticionaria desde la perspectiva tributaria.</w:t>
      </w:r>
    </w:p>
    <w:p w14:paraId="77B540ED" w14:textId="77777777" w:rsidR="00492BE5" w:rsidRDefault="00492BE5" w:rsidP="00AF752C">
      <w:pPr>
        <w:pStyle w:val="Sinespaciado"/>
        <w:jc w:val="both"/>
        <w:rPr>
          <w:rFonts w:ascii="Verdana" w:hAnsi="Verdana"/>
        </w:rPr>
      </w:pPr>
    </w:p>
    <w:p w14:paraId="530DEDE5" w14:textId="546BEF4D" w:rsidR="005A56EF" w:rsidRPr="00AF752C" w:rsidRDefault="00492BE5" w:rsidP="00AF752C">
      <w:pPr>
        <w:pStyle w:val="Sinespaciado"/>
        <w:jc w:val="both"/>
        <w:rPr>
          <w:rFonts w:ascii="Verdana" w:hAnsi="Verdana"/>
        </w:rPr>
      </w:pPr>
      <w:r w:rsidRPr="00AF752C">
        <w:rPr>
          <w:rFonts w:ascii="Verdana" w:hAnsi="Verdana"/>
        </w:rPr>
        <w:t>En los anteriores términos se resuelve su solicitud y finalmente le manifestamos que la Dirección de Impuestos y Aduanas Nacionales-DIAN-, con el fin de facilitar a los contribuyentes, usuarios y público en general el acceso directo a sus pronunciamientos doctrinarios, ha publicado en su página de internet</w:t>
      </w:r>
      <w:hyperlink r:id="rId6" w:history="1">
        <w:r w:rsidRPr="00AF752C">
          <w:rPr>
            <w:rStyle w:val="Hipervnculo"/>
            <w:rFonts w:ascii="Verdana" w:hAnsi="Verdana"/>
          </w:rPr>
          <w:t xml:space="preserve"> www.dian.gov.co</w:t>
        </w:r>
        <w:r w:rsidRPr="00AF752C">
          <w:rPr>
            <w:rStyle w:val="Hipervnculo"/>
            <w:rFonts w:ascii="Verdana" w:hAnsi="Verdana"/>
            <w:lang w:val="en-US" w:eastAsia="en-US" w:bidi="en-US"/>
          </w:rPr>
          <w:t>,</w:t>
        </w:r>
      </w:hyperlink>
      <w:r w:rsidRPr="00AF752C">
        <w:rPr>
          <w:rFonts w:ascii="Verdana" w:hAnsi="Verdana"/>
          <w:lang w:val="en-US" w:eastAsia="en-US" w:bidi="en-US"/>
        </w:rPr>
        <w:t xml:space="preserve"> </w:t>
      </w:r>
      <w:r w:rsidRPr="00AF752C">
        <w:rPr>
          <w:rFonts w:ascii="Verdana" w:hAnsi="Verdana"/>
        </w:rPr>
        <w:t xml:space="preserve">la base de conceptos en materia tributaria, aduanera y cambiaria expedidos desde </w:t>
      </w:r>
      <w:r w:rsidRPr="00AF752C">
        <w:rPr>
          <w:rFonts w:ascii="Verdana" w:hAnsi="Verdana"/>
        </w:rPr>
        <w:lastRenderedPageBreak/>
        <w:t xml:space="preserve">el año 2001, la cual se puede ingresar por el icono de </w:t>
      </w:r>
      <w:r>
        <w:rPr>
          <w:rFonts w:ascii="Verdana" w:hAnsi="Verdana"/>
        </w:rPr>
        <w:t>“</w:t>
      </w:r>
      <w:r w:rsidRPr="00AF752C">
        <w:rPr>
          <w:rFonts w:ascii="Verdana" w:hAnsi="Verdana"/>
        </w:rPr>
        <w:t xml:space="preserve">Normatividad” </w:t>
      </w:r>
      <w:r>
        <w:rPr>
          <w:rFonts w:ascii="Verdana" w:hAnsi="Verdana"/>
        </w:rPr>
        <w:t>–“</w:t>
      </w:r>
      <w:r w:rsidRPr="00AF752C">
        <w:rPr>
          <w:rFonts w:ascii="Verdana" w:hAnsi="Verdana"/>
        </w:rPr>
        <w:t xml:space="preserve">técnica”-, dando click en el link </w:t>
      </w:r>
      <w:r>
        <w:rPr>
          <w:rFonts w:ascii="Verdana" w:hAnsi="Verdana"/>
        </w:rPr>
        <w:t>“</w:t>
      </w:r>
      <w:r w:rsidRPr="00AF752C">
        <w:rPr>
          <w:rFonts w:ascii="Verdana" w:hAnsi="Verdana"/>
        </w:rPr>
        <w:t>Doctrina Dirección de Gestión Jurídica”.</w:t>
      </w:r>
    </w:p>
    <w:p w14:paraId="5B5E960F" w14:textId="77777777" w:rsidR="00492BE5" w:rsidRDefault="00492BE5" w:rsidP="00AF752C">
      <w:pPr>
        <w:pStyle w:val="Sinespaciado"/>
        <w:jc w:val="both"/>
        <w:rPr>
          <w:rFonts w:ascii="Verdana" w:hAnsi="Verdana"/>
        </w:rPr>
      </w:pPr>
    </w:p>
    <w:p w14:paraId="2D4555C6" w14:textId="77777777" w:rsidR="00492BE5" w:rsidRDefault="00492BE5" w:rsidP="00AF752C">
      <w:pPr>
        <w:pStyle w:val="Sinespaciado"/>
        <w:jc w:val="both"/>
        <w:rPr>
          <w:rFonts w:ascii="Verdana" w:hAnsi="Verdana"/>
        </w:rPr>
      </w:pPr>
    </w:p>
    <w:p w14:paraId="586C3C50" w14:textId="56AFB1D0" w:rsidR="005A56EF" w:rsidRPr="00AF752C" w:rsidRDefault="00492BE5" w:rsidP="00AF752C">
      <w:pPr>
        <w:pStyle w:val="Sinespaciado"/>
        <w:jc w:val="both"/>
        <w:rPr>
          <w:rFonts w:ascii="Verdana" w:hAnsi="Verdana"/>
        </w:rPr>
      </w:pPr>
      <w:r w:rsidRPr="00AF752C">
        <w:rPr>
          <w:rFonts w:ascii="Verdana" w:hAnsi="Verdana"/>
        </w:rPr>
        <w:t>Atentamente,</w:t>
      </w:r>
    </w:p>
    <w:p w14:paraId="6F51E7D2" w14:textId="77777777" w:rsidR="00492BE5" w:rsidRDefault="00492BE5" w:rsidP="00AF752C">
      <w:pPr>
        <w:pStyle w:val="Sinespaciado"/>
        <w:jc w:val="both"/>
        <w:rPr>
          <w:rFonts w:ascii="Verdana" w:hAnsi="Verdana"/>
        </w:rPr>
      </w:pPr>
      <w:bookmarkStart w:id="1" w:name="bookmark0"/>
    </w:p>
    <w:p w14:paraId="4CB9E178" w14:textId="77777777" w:rsidR="00492BE5" w:rsidRDefault="00492BE5" w:rsidP="00AF752C">
      <w:pPr>
        <w:pStyle w:val="Sinespaciado"/>
        <w:jc w:val="both"/>
        <w:rPr>
          <w:rFonts w:ascii="Verdana" w:hAnsi="Verdana"/>
        </w:rPr>
      </w:pPr>
    </w:p>
    <w:p w14:paraId="5EFAF525" w14:textId="77777777" w:rsidR="00492BE5" w:rsidRDefault="00492BE5" w:rsidP="00AF752C">
      <w:pPr>
        <w:pStyle w:val="Sinespaciado"/>
        <w:jc w:val="both"/>
        <w:rPr>
          <w:rFonts w:ascii="Verdana" w:hAnsi="Verdana"/>
        </w:rPr>
      </w:pPr>
    </w:p>
    <w:p w14:paraId="7A606A38" w14:textId="120B8506" w:rsidR="005A56EF" w:rsidRPr="00492BE5" w:rsidRDefault="00492BE5" w:rsidP="00AF752C">
      <w:pPr>
        <w:pStyle w:val="Sinespaciado"/>
        <w:jc w:val="both"/>
        <w:rPr>
          <w:rFonts w:ascii="Verdana" w:hAnsi="Verdana"/>
          <w:b/>
          <w:bCs/>
        </w:rPr>
      </w:pPr>
      <w:r w:rsidRPr="00492BE5">
        <w:rPr>
          <w:rFonts w:ascii="Verdana" w:hAnsi="Verdana"/>
          <w:b/>
          <w:bCs/>
        </w:rPr>
        <w:t>PABLO EMILIO MENDOZA VELILLA</w:t>
      </w:r>
      <w:bookmarkEnd w:id="1"/>
    </w:p>
    <w:p w14:paraId="4E9AED45" w14:textId="77777777" w:rsidR="00492BE5" w:rsidRDefault="00492BE5" w:rsidP="00AF752C">
      <w:pPr>
        <w:pStyle w:val="Sinespaciado"/>
        <w:jc w:val="both"/>
        <w:rPr>
          <w:rFonts w:ascii="Verdana" w:hAnsi="Verdana"/>
        </w:rPr>
      </w:pPr>
      <w:r w:rsidRPr="00AF752C">
        <w:rPr>
          <w:rFonts w:ascii="Verdana" w:hAnsi="Verdana"/>
        </w:rPr>
        <w:t>Subdirector de Gestión Normativa y Doctrina</w:t>
      </w:r>
    </w:p>
    <w:p w14:paraId="699D8846" w14:textId="77777777" w:rsidR="00492BE5" w:rsidRDefault="00492BE5" w:rsidP="00AF752C">
      <w:pPr>
        <w:pStyle w:val="Sinespaciado"/>
        <w:jc w:val="both"/>
        <w:rPr>
          <w:rFonts w:ascii="Verdana" w:hAnsi="Verdana"/>
        </w:rPr>
      </w:pPr>
      <w:r w:rsidRPr="00AF752C">
        <w:rPr>
          <w:rFonts w:ascii="Verdana" w:hAnsi="Verdana"/>
        </w:rPr>
        <w:t>Dirección de Gestión Jurídica</w:t>
      </w:r>
    </w:p>
    <w:p w14:paraId="21627B44" w14:textId="77777777" w:rsidR="00492BE5" w:rsidRDefault="00492BE5" w:rsidP="00AF752C">
      <w:pPr>
        <w:pStyle w:val="Sinespaciado"/>
        <w:jc w:val="both"/>
        <w:rPr>
          <w:rFonts w:ascii="Verdana" w:hAnsi="Verdana"/>
        </w:rPr>
      </w:pPr>
      <w:r w:rsidRPr="00AF752C">
        <w:rPr>
          <w:rFonts w:ascii="Verdana" w:hAnsi="Verdana"/>
        </w:rPr>
        <w:t>UAE-Dirección de Impuestos y Aduanas Nacionales</w:t>
      </w:r>
    </w:p>
    <w:p w14:paraId="5FD7E50C" w14:textId="1F0BC3C7" w:rsidR="005A56EF" w:rsidRPr="00AF752C" w:rsidRDefault="00492BE5" w:rsidP="00AF752C">
      <w:pPr>
        <w:pStyle w:val="Sinespaciado"/>
        <w:jc w:val="both"/>
        <w:rPr>
          <w:rFonts w:ascii="Verdana" w:hAnsi="Verdana"/>
        </w:rPr>
      </w:pPr>
      <w:r w:rsidRPr="00AF752C">
        <w:rPr>
          <w:rFonts w:ascii="Verdana" w:hAnsi="Verdana"/>
        </w:rPr>
        <w:t>Car. 8 N° 6C-38 Piso 4, Edificio San Agustín, Bogotá D.C.</w:t>
      </w:r>
    </w:p>
    <w:p w14:paraId="787ADD31" w14:textId="77777777" w:rsidR="005A56EF" w:rsidRPr="00AF752C" w:rsidRDefault="00492BE5" w:rsidP="00AF752C">
      <w:pPr>
        <w:pStyle w:val="Sinespaciado"/>
        <w:jc w:val="both"/>
        <w:rPr>
          <w:rFonts w:ascii="Verdana" w:hAnsi="Verdana"/>
        </w:rPr>
      </w:pPr>
      <w:r w:rsidRPr="00AF752C">
        <w:rPr>
          <w:rFonts w:ascii="Verdana" w:hAnsi="Verdana"/>
        </w:rPr>
        <w:t>Tel: 607 99 99 Ext: 904101</w:t>
      </w:r>
    </w:p>
    <w:sectPr w:rsidR="005A56EF" w:rsidRPr="00AF752C" w:rsidSect="00AF752C">
      <w:type w:val="continuous"/>
      <w:pgSz w:w="12240" w:h="15840" w:code="1"/>
      <w:pgMar w:top="1418" w:right="1701" w:bottom="1418" w:left="1701"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4A8A1" w14:textId="77777777" w:rsidR="00BB1EB1" w:rsidRDefault="00BB1EB1">
      <w:r>
        <w:separator/>
      </w:r>
    </w:p>
  </w:endnote>
  <w:endnote w:type="continuationSeparator" w:id="0">
    <w:p w14:paraId="0AD37EB4" w14:textId="77777777" w:rsidR="00BB1EB1" w:rsidRDefault="00BB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61AD4" w14:textId="77777777" w:rsidR="00BB1EB1" w:rsidRDefault="00BB1EB1"/>
  </w:footnote>
  <w:footnote w:type="continuationSeparator" w:id="0">
    <w:p w14:paraId="7D35B15C" w14:textId="77777777" w:rsidR="00BB1EB1" w:rsidRDefault="00BB1EB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EF"/>
    <w:rsid w:val="00424A16"/>
    <w:rsid w:val="00492BE5"/>
    <w:rsid w:val="005A56EF"/>
    <w:rsid w:val="005D1C0A"/>
    <w:rsid w:val="00AF752C"/>
    <w:rsid w:val="00BB1E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2915"/>
  <w15:docId w15:val="{683C5702-AD94-4A74-9C5B-8E3CC444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0"/>
      <w:szCs w:val="20"/>
      <w:u w:val="none"/>
    </w:rPr>
  </w:style>
  <w:style w:type="character" w:customStyle="1" w:styleId="Cuerpodeltexto4">
    <w:name w:val="Cuerpo del texto (4)_"/>
    <w:basedOn w:val="Fuentedeprrafopredeter"/>
    <w:link w:val="Cuerpodeltexto40"/>
    <w:rPr>
      <w:rFonts w:ascii="Arial" w:eastAsia="Arial" w:hAnsi="Arial" w:cs="Arial"/>
      <w:b w:val="0"/>
      <w:bCs w:val="0"/>
      <w:i/>
      <w:iCs/>
      <w:smallCaps w:val="0"/>
      <w:strike w:val="0"/>
      <w:sz w:val="21"/>
      <w:szCs w:val="21"/>
      <w:u w:val="none"/>
    </w:rPr>
  </w:style>
  <w:style w:type="character" w:customStyle="1" w:styleId="Cuerpodeltexto4Negrita">
    <w:name w:val="Cuerpo del texto (4) + Negrita"/>
    <w:basedOn w:val="Cuerpodeltexto4"/>
    <w:rPr>
      <w:rFonts w:ascii="Arial" w:eastAsia="Arial" w:hAnsi="Arial" w:cs="Arial"/>
      <w:b/>
      <w:bCs/>
      <w:i/>
      <w:iCs/>
      <w:smallCaps w:val="0"/>
      <w:strike w:val="0"/>
      <w:color w:val="000000"/>
      <w:spacing w:val="0"/>
      <w:w w:val="100"/>
      <w:position w:val="0"/>
      <w:sz w:val="21"/>
      <w:szCs w:val="21"/>
      <w:u w:val="none"/>
      <w:lang w:val="es-ES" w:eastAsia="es-ES" w:bidi="es-ES"/>
    </w:rPr>
  </w:style>
  <w:style w:type="character" w:customStyle="1" w:styleId="Cuerpodeltexto2105ptoCursiva">
    <w:name w:val="Cuerpo del texto (2) + 10;5 pto;Cursiva"/>
    <w:basedOn w:val="Cuerpodeltexto2"/>
    <w:rPr>
      <w:rFonts w:ascii="Arial" w:eastAsia="Arial" w:hAnsi="Arial" w:cs="Arial"/>
      <w:b w:val="0"/>
      <w:bCs w:val="0"/>
      <w:i/>
      <w:iCs/>
      <w:smallCaps w:val="0"/>
      <w:strike w:val="0"/>
      <w:color w:val="000000"/>
      <w:spacing w:val="0"/>
      <w:w w:val="100"/>
      <w:position w:val="0"/>
      <w:sz w:val="21"/>
      <w:szCs w:val="21"/>
      <w:u w:val="none"/>
      <w:lang w:val="es-ES" w:eastAsia="es-ES" w:bidi="es-ES"/>
    </w:rPr>
  </w:style>
  <w:style w:type="character" w:customStyle="1" w:styleId="Cuerpodeltexto2105ptoNegritaCursiva">
    <w:name w:val="Cuerpo del texto (2) + 10;5 pto;Negrita;Cursiva"/>
    <w:basedOn w:val="Cuerpodeltexto2"/>
    <w:rPr>
      <w:rFonts w:ascii="Arial" w:eastAsia="Arial" w:hAnsi="Arial" w:cs="Arial"/>
      <w:b/>
      <w:bCs/>
      <w:i/>
      <w:iCs/>
      <w:smallCaps w:val="0"/>
      <w:strike w:val="0"/>
      <w:color w:val="000000"/>
      <w:spacing w:val="0"/>
      <w:w w:val="100"/>
      <w:position w:val="0"/>
      <w:sz w:val="21"/>
      <w:szCs w:val="21"/>
      <w:u w:val="none"/>
      <w:lang w:val="es-ES" w:eastAsia="es-ES" w:bidi="es-ES"/>
    </w:rPr>
  </w:style>
  <w:style w:type="character" w:customStyle="1" w:styleId="Cuerpodeltexto4Sincursiva">
    <w:name w:val="Cuerpo del texto (4) + Sin cursiva"/>
    <w:basedOn w:val="Cuerpodeltexto4"/>
    <w:rPr>
      <w:rFonts w:ascii="Arial" w:eastAsia="Arial" w:hAnsi="Arial" w:cs="Arial"/>
      <w:b w:val="0"/>
      <w:bCs w:val="0"/>
      <w:i/>
      <w:iCs/>
      <w:smallCaps w:val="0"/>
      <w:strike w:val="0"/>
      <w:color w:val="000000"/>
      <w:spacing w:val="0"/>
      <w:w w:val="100"/>
      <w:position w:val="0"/>
      <w:sz w:val="21"/>
      <w:szCs w:val="21"/>
      <w:u w:val="none"/>
      <w:lang w:val="es-ES" w:eastAsia="es-ES" w:bidi="es-ES"/>
    </w:rPr>
  </w:style>
  <w:style w:type="character" w:customStyle="1" w:styleId="Cuerpodeltexto410ptoSincursiva">
    <w:name w:val="Cuerpo del texto (4) + 10 pto;Sin cursiva"/>
    <w:basedOn w:val="Cuerpodeltexto4"/>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20"/>
      <w:szCs w:val="20"/>
      <w:u w:val="single"/>
      <w:lang w:val="es-ES" w:eastAsia="es-ES" w:bidi="es-ES"/>
    </w:rPr>
  </w:style>
  <w:style w:type="character" w:customStyle="1" w:styleId="Cuerpodeltexto22">
    <w:name w:val="Cuerpo del texto (2)"/>
    <w:basedOn w:val="Cuerpodeltexto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Cuerpodeltexto23">
    <w:name w:val="Cuerpo del texto (23)_"/>
    <w:basedOn w:val="Fuentedeprrafopredeter"/>
    <w:link w:val="Cuerpodeltexto230"/>
    <w:rPr>
      <w:rFonts w:ascii="Arial" w:eastAsia="Arial" w:hAnsi="Arial" w:cs="Arial"/>
      <w:b/>
      <w:bCs/>
      <w:i w:val="0"/>
      <w:iCs w:val="0"/>
      <w:smallCaps w:val="0"/>
      <w:strike w:val="0"/>
      <w:sz w:val="10"/>
      <w:szCs w:val="10"/>
      <w:u w:val="none"/>
    </w:rPr>
  </w:style>
  <w:style w:type="character" w:customStyle="1" w:styleId="Cuerpodeltexto231">
    <w:name w:val="Cuerpo del texto (23)"/>
    <w:basedOn w:val="Cuerpodeltexto23"/>
    <w:rPr>
      <w:rFonts w:ascii="Arial" w:eastAsia="Arial" w:hAnsi="Arial" w:cs="Arial"/>
      <w:b/>
      <w:bCs/>
      <w:i w:val="0"/>
      <w:iCs w:val="0"/>
      <w:smallCaps w:val="0"/>
      <w:strike w:val="0"/>
      <w:color w:val="000000"/>
      <w:spacing w:val="0"/>
      <w:w w:val="100"/>
      <w:position w:val="0"/>
      <w:sz w:val="10"/>
      <w:szCs w:val="10"/>
      <w:u w:val="none"/>
      <w:lang w:val="es-ES" w:eastAsia="es-ES" w:bidi="es-ES"/>
    </w:rPr>
  </w:style>
  <w:style w:type="character" w:customStyle="1" w:styleId="Cuerpodeltexto237ptoSinnegritaCursivaEspaciado0pto">
    <w:name w:val="Cuerpo del texto (23) + 7 pto;Sin negrita;Cursiva;Espaciado 0 pto"/>
    <w:basedOn w:val="Cuerpodeltexto23"/>
    <w:rPr>
      <w:rFonts w:ascii="Arial" w:eastAsia="Arial" w:hAnsi="Arial" w:cs="Arial"/>
      <w:b/>
      <w:bCs/>
      <w:i/>
      <w:iCs/>
      <w:smallCaps w:val="0"/>
      <w:strike w:val="0"/>
      <w:color w:val="000000"/>
      <w:spacing w:val="10"/>
      <w:w w:val="100"/>
      <w:position w:val="0"/>
      <w:sz w:val="14"/>
      <w:szCs w:val="14"/>
      <w:u w:val="none"/>
      <w:lang w:val="es-ES" w:eastAsia="es-ES" w:bidi="es-ES"/>
    </w:rPr>
  </w:style>
  <w:style w:type="character" w:customStyle="1" w:styleId="Ttulo12">
    <w:name w:val="Título #1 (2)_"/>
    <w:basedOn w:val="Fuentedeprrafopredeter"/>
    <w:link w:val="Ttulo120"/>
    <w:rPr>
      <w:rFonts w:ascii="Arial" w:eastAsia="Arial" w:hAnsi="Arial" w:cs="Arial"/>
      <w:b/>
      <w:bCs/>
      <w:i w:val="0"/>
      <w:iCs w:val="0"/>
      <w:smallCaps w:val="0"/>
      <w:strike w:val="0"/>
      <w:sz w:val="21"/>
      <w:szCs w:val="21"/>
      <w:u w:val="none"/>
    </w:rPr>
  </w:style>
  <w:style w:type="paragraph" w:customStyle="1" w:styleId="Cuerpodeltexto20">
    <w:name w:val="Cuerpo del texto (2)"/>
    <w:basedOn w:val="Normal"/>
    <w:link w:val="Cuerpodeltexto2"/>
    <w:pPr>
      <w:shd w:val="clear" w:color="auto" w:fill="FFFFFF"/>
      <w:spacing w:before="420" w:after="1860" w:line="456" w:lineRule="exact"/>
      <w:ind w:hanging="720"/>
    </w:pPr>
    <w:rPr>
      <w:rFonts w:ascii="Arial" w:eastAsia="Arial" w:hAnsi="Arial" w:cs="Arial"/>
      <w:sz w:val="20"/>
      <w:szCs w:val="20"/>
    </w:rPr>
  </w:style>
  <w:style w:type="paragraph" w:customStyle="1" w:styleId="Cuerpodeltexto40">
    <w:name w:val="Cuerpo del texto (4)"/>
    <w:basedOn w:val="Normal"/>
    <w:link w:val="Cuerpodeltexto4"/>
    <w:pPr>
      <w:shd w:val="clear" w:color="auto" w:fill="FFFFFF"/>
      <w:spacing w:before="180" w:after="300" w:line="250" w:lineRule="exact"/>
      <w:ind w:hanging="280"/>
      <w:jc w:val="both"/>
    </w:pPr>
    <w:rPr>
      <w:rFonts w:ascii="Arial" w:eastAsia="Arial" w:hAnsi="Arial" w:cs="Arial"/>
      <w:i/>
      <w:iCs/>
      <w:sz w:val="21"/>
      <w:szCs w:val="21"/>
    </w:rPr>
  </w:style>
  <w:style w:type="paragraph" w:customStyle="1" w:styleId="Cuerpodeltexto230">
    <w:name w:val="Cuerpo del texto (23)"/>
    <w:basedOn w:val="Normal"/>
    <w:link w:val="Cuerpodeltexto23"/>
    <w:pPr>
      <w:shd w:val="clear" w:color="auto" w:fill="FFFFFF"/>
      <w:spacing w:before="300" w:line="144" w:lineRule="exact"/>
    </w:pPr>
    <w:rPr>
      <w:rFonts w:ascii="Arial" w:eastAsia="Arial" w:hAnsi="Arial" w:cs="Arial"/>
      <w:b/>
      <w:bCs/>
      <w:sz w:val="10"/>
      <w:szCs w:val="10"/>
    </w:rPr>
  </w:style>
  <w:style w:type="paragraph" w:customStyle="1" w:styleId="Ttulo120">
    <w:name w:val="Título #1 (2)"/>
    <w:basedOn w:val="Normal"/>
    <w:link w:val="Ttulo12"/>
    <w:pPr>
      <w:shd w:val="clear" w:color="auto" w:fill="FFFFFF"/>
      <w:spacing w:before="300" w:line="250" w:lineRule="exact"/>
      <w:jc w:val="both"/>
      <w:outlineLvl w:val="0"/>
    </w:pPr>
    <w:rPr>
      <w:rFonts w:ascii="Arial" w:eastAsia="Arial" w:hAnsi="Arial" w:cs="Arial"/>
      <w:b/>
      <w:bCs/>
      <w:sz w:val="21"/>
      <w:szCs w:val="21"/>
    </w:rPr>
  </w:style>
  <w:style w:type="paragraph" w:styleId="Sinespaciado">
    <w:name w:val="No Spacing"/>
    <w:uiPriority w:val="1"/>
    <w:qFormat/>
    <w:rsid w:val="00AF752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n.gov.c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1075</Words>
  <Characters>5918</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Gomez</dc:creator>
  <cp:keywords/>
  <cp:lastModifiedBy>Microsoft Office User</cp:lastModifiedBy>
  <cp:revision>2</cp:revision>
  <dcterms:created xsi:type="dcterms:W3CDTF">2021-07-09T21:01:00Z</dcterms:created>
  <dcterms:modified xsi:type="dcterms:W3CDTF">2021-07-09T21:01:00Z</dcterms:modified>
</cp:coreProperties>
</file>