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344D" w14:textId="4F8C8834" w:rsidR="00A121EB" w:rsidRDefault="00E76C2B" w:rsidP="00A93398">
      <w:pPr>
        <w:pStyle w:val="Sinespaciado"/>
        <w:jc w:val="both"/>
        <w:rPr>
          <w:rStyle w:val="Ttulo121"/>
          <w:rFonts w:ascii="Verdana" w:hAnsi="Verdana"/>
          <w:b/>
          <w:bCs/>
          <w:i w:val="0"/>
          <w:iCs w:val="0"/>
          <w:sz w:val="24"/>
          <w:szCs w:val="24"/>
        </w:rPr>
      </w:pPr>
      <w:bookmarkStart w:id="0" w:name="bookmark0"/>
      <w:bookmarkStart w:id="1" w:name="_GoBack"/>
      <w:bookmarkEnd w:id="1"/>
      <w:r w:rsidRPr="00A93398">
        <w:rPr>
          <w:rStyle w:val="Ttulo121"/>
          <w:rFonts w:ascii="Verdana" w:hAnsi="Verdana"/>
          <w:b/>
          <w:bCs/>
          <w:i w:val="0"/>
          <w:iCs w:val="0"/>
          <w:sz w:val="24"/>
          <w:szCs w:val="24"/>
        </w:rPr>
        <w:t>RESOLUCION DDI-006981</w:t>
      </w:r>
      <w:r w:rsidR="00A93398">
        <w:rPr>
          <w:rStyle w:val="Ttulo121"/>
          <w:rFonts w:ascii="Verdana" w:hAnsi="Verdana"/>
          <w:b/>
          <w:bCs/>
          <w:i w:val="0"/>
          <w:iCs w:val="0"/>
          <w:sz w:val="24"/>
          <w:szCs w:val="24"/>
        </w:rPr>
        <w:t xml:space="preserve"> DEL </w:t>
      </w:r>
      <w:r w:rsidRPr="00A93398">
        <w:rPr>
          <w:rStyle w:val="Ttulo121"/>
          <w:rFonts w:ascii="Verdana" w:hAnsi="Verdana"/>
          <w:b/>
          <w:bCs/>
          <w:i w:val="0"/>
          <w:iCs w:val="0"/>
          <w:sz w:val="24"/>
          <w:szCs w:val="24"/>
        </w:rPr>
        <w:t>1 DE JULIO DE 2021</w:t>
      </w:r>
      <w:bookmarkEnd w:id="0"/>
    </w:p>
    <w:p w14:paraId="5D520742" w14:textId="291F0F5F" w:rsidR="00A93398" w:rsidRPr="00A93398" w:rsidRDefault="00A93398" w:rsidP="00A93398">
      <w:pPr>
        <w:pStyle w:val="Sinespaciado"/>
        <w:jc w:val="both"/>
        <w:rPr>
          <w:rFonts w:ascii="Verdana" w:hAnsi="Verdana"/>
          <w:b/>
          <w:bCs/>
          <w:i/>
          <w:iCs/>
        </w:rPr>
      </w:pPr>
      <w:r>
        <w:rPr>
          <w:rStyle w:val="Ttulo121"/>
          <w:rFonts w:ascii="Verdana" w:hAnsi="Verdana"/>
          <w:b/>
          <w:bCs/>
          <w:i w:val="0"/>
          <w:iCs w:val="0"/>
          <w:sz w:val="24"/>
          <w:szCs w:val="24"/>
        </w:rPr>
        <w:t>SECRETARÍA DISTRITAL DE HACIENDA</w:t>
      </w:r>
    </w:p>
    <w:p w14:paraId="60971FC8" w14:textId="77777777" w:rsidR="00A93398" w:rsidRDefault="00A93398" w:rsidP="00A93398">
      <w:pPr>
        <w:pStyle w:val="Sinespaciado"/>
        <w:jc w:val="both"/>
        <w:rPr>
          <w:rFonts w:ascii="Verdana" w:hAnsi="Verdana"/>
        </w:rPr>
      </w:pPr>
    </w:p>
    <w:p w14:paraId="573D4D5B" w14:textId="6EC1DA13" w:rsidR="00A121EB" w:rsidRPr="00A93398" w:rsidRDefault="00E76C2B" w:rsidP="00A93398">
      <w:pPr>
        <w:pStyle w:val="Sinespaciado"/>
        <w:jc w:val="both"/>
        <w:rPr>
          <w:rFonts w:ascii="Verdana" w:hAnsi="Verdana"/>
          <w:i/>
          <w:iCs/>
        </w:rPr>
      </w:pPr>
      <w:r w:rsidRPr="00A93398">
        <w:rPr>
          <w:rFonts w:ascii="Verdana" w:hAnsi="Verdana"/>
          <w:i/>
          <w:iCs/>
        </w:rPr>
        <w:t>Por la cual se modifica la Resolución No.DDI-000396 de 18 de marzo de 2021 “Por la cual</w:t>
      </w:r>
      <w:r w:rsidR="00A93398" w:rsidRPr="00A93398">
        <w:rPr>
          <w:rFonts w:ascii="Verdana" w:hAnsi="Verdana"/>
          <w:i/>
          <w:iCs/>
        </w:rPr>
        <w:t xml:space="preserve"> </w:t>
      </w:r>
      <w:r w:rsidRPr="00A93398">
        <w:rPr>
          <w:rFonts w:ascii="Verdana" w:hAnsi="Verdana"/>
          <w:i/>
          <w:iCs/>
        </w:rPr>
        <w:t>se establecen las personas naturales, jurídicas, consorcios, uniones temporales y/o</w:t>
      </w:r>
      <w:r w:rsidR="00A93398" w:rsidRPr="00A93398">
        <w:rPr>
          <w:rFonts w:ascii="Verdana" w:hAnsi="Verdana"/>
          <w:i/>
          <w:iCs/>
        </w:rPr>
        <w:t xml:space="preserve"> </w:t>
      </w:r>
      <w:r w:rsidRPr="00A93398">
        <w:rPr>
          <w:rFonts w:ascii="Verdana" w:hAnsi="Verdana"/>
          <w:i/>
          <w:iCs/>
        </w:rPr>
        <w:t>sociedades de hecho, y el contenido y las características de la información que aquellas</w:t>
      </w:r>
      <w:r w:rsidR="00A93398" w:rsidRPr="00A93398">
        <w:rPr>
          <w:rFonts w:ascii="Verdana" w:hAnsi="Verdana"/>
          <w:i/>
          <w:iCs/>
        </w:rPr>
        <w:t xml:space="preserve"> </w:t>
      </w:r>
      <w:r w:rsidRPr="00A93398">
        <w:rPr>
          <w:rFonts w:ascii="Verdana" w:hAnsi="Verdana"/>
          <w:i/>
          <w:iCs/>
        </w:rPr>
        <w:t>deben suministrar a la Dirección Distrital de Impuestos de Bogotá</w:t>
      </w:r>
      <w:r w:rsidR="00A93398" w:rsidRPr="00A93398">
        <w:rPr>
          <w:rFonts w:ascii="Verdana" w:hAnsi="Verdana"/>
          <w:i/>
          <w:iCs/>
        </w:rPr>
        <w:t>”</w:t>
      </w:r>
      <w:r w:rsidRPr="00A93398">
        <w:rPr>
          <w:rFonts w:ascii="Verdana" w:hAnsi="Verdana"/>
          <w:i/>
          <w:iCs/>
        </w:rPr>
        <w:t>.</w:t>
      </w:r>
    </w:p>
    <w:p w14:paraId="00F02202" w14:textId="77777777" w:rsidR="00A93398" w:rsidRDefault="00A93398" w:rsidP="00A93398">
      <w:pPr>
        <w:pStyle w:val="Sinespaciado"/>
        <w:jc w:val="both"/>
        <w:rPr>
          <w:rFonts w:ascii="Verdana" w:hAnsi="Verdana"/>
        </w:rPr>
      </w:pPr>
      <w:bookmarkStart w:id="2" w:name="bookmark1"/>
    </w:p>
    <w:p w14:paraId="65CD7EAA" w14:textId="258FB57E" w:rsidR="00A121EB" w:rsidRPr="00A93398" w:rsidRDefault="00E76C2B" w:rsidP="00A93398">
      <w:pPr>
        <w:pStyle w:val="Sinespaciado"/>
        <w:jc w:val="both"/>
        <w:rPr>
          <w:rFonts w:ascii="Verdana" w:hAnsi="Verdana"/>
          <w:b/>
          <w:bCs/>
        </w:rPr>
      </w:pPr>
      <w:r w:rsidRPr="00A93398">
        <w:rPr>
          <w:rFonts w:ascii="Verdana" w:hAnsi="Verdana"/>
          <w:b/>
          <w:bCs/>
        </w:rPr>
        <w:t>EL DIRECTOR DISTRITAL DE IMPUESTOS DE BOGOTA</w:t>
      </w:r>
      <w:r w:rsidR="00A93398">
        <w:rPr>
          <w:rFonts w:ascii="Verdana" w:hAnsi="Verdana"/>
          <w:b/>
          <w:bCs/>
        </w:rPr>
        <w:t xml:space="preserve"> </w:t>
      </w:r>
      <w:r w:rsidRPr="00A93398">
        <w:rPr>
          <w:rFonts w:ascii="Verdana" w:hAnsi="Verdana"/>
          <w:b/>
          <w:bCs/>
        </w:rPr>
        <w:t>DE LA SECRETARÍA DISTRITAL DE HACIENDA</w:t>
      </w:r>
      <w:bookmarkEnd w:id="2"/>
    </w:p>
    <w:p w14:paraId="47434580" w14:textId="77777777" w:rsidR="00A93398" w:rsidRDefault="00A93398" w:rsidP="00A93398">
      <w:pPr>
        <w:pStyle w:val="Sinespaciado"/>
        <w:jc w:val="both"/>
        <w:rPr>
          <w:rFonts w:ascii="Verdana" w:hAnsi="Verdana"/>
        </w:rPr>
      </w:pPr>
    </w:p>
    <w:p w14:paraId="4EF951AB" w14:textId="4E925D14" w:rsidR="00A121EB" w:rsidRPr="00A93398" w:rsidRDefault="00E76C2B" w:rsidP="00A93398">
      <w:pPr>
        <w:pStyle w:val="Sinespaciado"/>
        <w:jc w:val="both"/>
        <w:rPr>
          <w:rFonts w:ascii="Verdana" w:hAnsi="Verdana"/>
        </w:rPr>
      </w:pPr>
      <w:r w:rsidRPr="00A93398">
        <w:rPr>
          <w:rFonts w:ascii="Verdana" w:hAnsi="Verdana"/>
        </w:rPr>
        <w:t>En uso de las facultades conferidas en los artículos 1 y 51 del Decreto Distrital 807 de 1993 y</w:t>
      </w:r>
      <w:r w:rsidR="00A93398">
        <w:rPr>
          <w:rFonts w:ascii="Verdana" w:hAnsi="Verdana"/>
        </w:rPr>
        <w:t xml:space="preserve"> </w:t>
      </w:r>
      <w:r w:rsidRPr="00A93398">
        <w:rPr>
          <w:rFonts w:ascii="Verdana" w:hAnsi="Verdana"/>
        </w:rPr>
        <w:t>22 del Acuerdo Distrital 65 de 2002 y,</w:t>
      </w:r>
    </w:p>
    <w:p w14:paraId="70348E18" w14:textId="77777777" w:rsidR="00A93398" w:rsidRDefault="00A93398" w:rsidP="00A93398">
      <w:pPr>
        <w:pStyle w:val="Sinespaciado"/>
        <w:jc w:val="both"/>
        <w:rPr>
          <w:rFonts w:ascii="Verdana" w:hAnsi="Verdana"/>
        </w:rPr>
      </w:pPr>
      <w:bookmarkStart w:id="3" w:name="bookmark2"/>
    </w:p>
    <w:p w14:paraId="4DBEE0D1" w14:textId="6009BA14" w:rsidR="00A121EB" w:rsidRPr="00A93398" w:rsidRDefault="00E76C2B" w:rsidP="00A93398">
      <w:pPr>
        <w:pStyle w:val="Sinespaciado"/>
        <w:jc w:val="both"/>
        <w:rPr>
          <w:rFonts w:ascii="Verdana" w:hAnsi="Verdana"/>
          <w:b/>
          <w:bCs/>
        </w:rPr>
      </w:pPr>
      <w:r w:rsidRPr="00A93398">
        <w:rPr>
          <w:rFonts w:ascii="Verdana" w:hAnsi="Verdana"/>
          <w:b/>
          <w:bCs/>
        </w:rPr>
        <w:t>CONSIDERANDO:</w:t>
      </w:r>
      <w:bookmarkEnd w:id="3"/>
    </w:p>
    <w:p w14:paraId="3CA7BF17" w14:textId="77777777" w:rsidR="00A93398" w:rsidRDefault="00A93398" w:rsidP="00A93398">
      <w:pPr>
        <w:pStyle w:val="Sinespaciado"/>
        <w:jc w:val="both"/>
        <w:rPr>
          <w:rFonts w:ascii="Verdana" w:hAnsi="Verdana"/>
        </w:rPr>
      </w:pPr>
    </w:p>
    <w:p w14:paraId="2EC387A5" w14:textId="2B3C2016" w:rsidR="00A121EB" w:rsidRPr="00A93398" w:rsidRDefault="00E76C2B" w:rsidP="00A93398">
      <w:pPr>
        <w:pStyle w:val="Sinespaciado"/>
        <w:jc w:val="both"/>
        <w:rPr>
          <w:rFonts w:ascii="Verdana" w:hAnsi="Verdana"/>
        </w:rPr>
      </w:pPr>
      <w:r w:rsidRPr="00A93398">
        <w:rPr>
          <w:rFonts w:ascii="Verdana" w:hAnsi="Verdana"/>
        </w:rPr>
        <w:t>Que el inciso 2° del artículo 209 de la Constitución Política ordena a las autoridades administrativas coordinar sus actuaciones para el adecuado cumplimiento de los fines del Estado.</w:t>
      </w:r>
    </w:p>
    <w:p w14:paraId="50C6E7F4" w14:textId="77777777" w:rsidR="00A93398" w:rsidRDefault="00A93398" w:rsidP="00A93398">
      <w:pPr>
        <w:pStyle w:val="Sinespaciado"/>
        <w:jc w:val="both"/>
        <w:rPr>
          <w:rFonts w:ascii="Verdana" w:hAnsi="Verdana"/>
        </w:rPr>
      </w:pPr>
    </w:p>
    <w:p w14:paraId="1E3796FE" w14:textId="0A5A99B2" w:rsidR="00A121EB" w:rsidRPr="00A93398" w:rsidRDefault="00E76C2B" w:rsidP="00A93398">
      <w:pPr>
        <w:pStyle w:val="Sinespaciado"/>
        <w:jc w:val="both"/>
        <w:rPr>
          <w:rFonts w:ascii="Verdana" w:hAnsi="Verdana"/>
        </w:rPr>
      </w:pPr>
      <w:r w:rsidRPr="00A93398">
        <w:rPr>
          <w:rFonts w:ascii="Verdana" w:hAnsi="Verdana"/>
        </w:rPr>
        <w:t>Que el artículo 6 de la Ley 489 de 1998 desarrolla los principios de coordinación y colaboración entre las autoridades administrativas para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14:paraId="6E79CD61" w14:textId="77777777" w:rsidR="00A93398" w:rsidRDefault="00A93398" w:rsidP="00A93398">
      <w:pPr>
        <w:pStyle w:val="Sinespaciado"/>
        <w:jc w:val="both"/>
        <w:rPr>
          <w:rStyle w:val="Cuerpodeltexto3Sincursiva"/>
          <w:rFonts w:ascii="Verdana" w:hAnsi="Verdana"/>
          <w:i w:val="0"/>
          <w:iCs w:val="0"/>
          <w:sz w:val="24"/>
          <w:szCs w:val="24"/>
        </w:rPr>
      </w:pPr>
    </w:p>
    <w:p w14:paraId="55A83DC7" w14:textId="1570D7AC" w:rsidR="00A121EB" w:rsidRPr="00A93398" w:rsidRDefault="00E76C2B" w:rsidP="00A93398">
      <w:pPr>
        <w:pStyle w:val="Sinespaciado"/>
        <w:jc w:val="both"/>
        <w:rPr>
          <w:rFonts w:ascii="Verdana" w:hAnsi="Verdana"/>
          <w:i/>
          <w:iCs/>
        </w:rPr>
      </w:pPr>
      <w:r w:rsidRPr="00A93398">
        <w:rPr>
          <w:rStyle w:val="Cuerpodeltexto3Sincursiva"/>
          <w:rFonts w:ascii="Verdana" w:hAnsi="Verdana"/>
          <w:i w:val="0"/>
          <w:iCs w:val="0"/>
          <w:sz w:val="24"/>
          <w:szCs w:val="24"/>
        </w:rPr>
        <w:t xml:space="preserve">Que con el fin de efectuar estudios y cruces de información necesarios para el debido control de los tributos distritales, de conformidad con el artículo 51 del Decreto Distrital 807 de 1993, </w:t>
      </w:r>
      <w:r w:rsidRPr="00A93398">
        <w:rPr>
          <w:rFonts w:ascii="Verdana" w:hAnsi="Verdana"/>
          <w:i/>
          <w:iCs/>
        </w:rPr>
        <w:t>“Por el cual se armonizan el procedimiento y la administración de los tributos distritales con el Estatuto Tributario Nacional y de dictan otras disposiciones</w:t>
      </w:r>
      <w:r w:rsidR="00A93398">
        <w:rPr>
          <w:rFonts w:ascii="Verdana" w:hAnsi="Verdana"/>
          <w:i/>
          <w:iCs/>
        </w:rPr>
        <w:t>”</w:t>
      </w:r>
      <w:r w:rsidRPr="00A93398">
        <w:rPr>
          <w:rFonts w:ascii="Verdana" w:hAnsi="Verdana"/>
          <w:i/>
          <w:iCs/>
        </w:rPr>
        <w:t>, “(...) el Director Distrital de Impuestos podrá solicitar a las personas o entidades, contribuyentes y no contribuyentes, declarantes o no declarantes, información relacionada con sus propias operaciones o con operaciones efectuadas con terceros, así como la discriminación total o parcial de las partidas consignadas en los formularios de las declaraciones tributarias (...)”.</w:t>
      </w:r>
    </w:p>
    <w:p w14:paraId="3EAE6DEC" w14:textId="77777777" w:rsidR="00A93398" w:rsidRDefault="00A93398" w:rsidP="00A93398">
      <w:pPr>
        <w:pStyle w:val="Sinespaciado"/>
        <w:jc w:val="both"/>
        <w:rPr>
          <w:rFonts w:ascii="Verdana" w:hAnsi="Verdana"/>
        </w:rPr>
      </w:pPr>
    </w:p>
    <w:p w14:paraId="3256DB47" w14:textId="4119870C" w:rsidR="00A121EB" w:rsidRPr="00A93398" w:rsidRDefault="00E76C2B" w:rsidP="00A93398">
      <w:pPr>
        <w:pStyle w:val="Sinespaciado"/>
        <w:jc w:val="both"/>
        <w:rPr>
          <w:rFonts w:ascii="Verdana" w:hAnsi="Verdana"/>
        </w:rPr>
      </w:pPr>
      <w:r w:rsidRPr="00A93398">
        <w:rPr>
          <w:rFonts w:ascii="Verdana" w:hAnsi="Verdana"/>
        </w:rPr>
        <w:t xml:space="preserve">Que el incumplimiento o cumplimiento extemporáneo o defectuoso en el suministro, por medio magnético, de la información endógena y exógena solicitada por vía general mediante la presente Resolución </w:t>
      </w:r>
      <w:r w:rsidRPr="00A93398">
        <w:rPr>
          <w:rFonts w:ascii="Verdana" w:hAnsi="Verdana"/>
        </w:rPr>
        <w:lastRenderedPageBreak/>
        <w:t xml:space="preserve">acarrea para el obligado tributario la sanción prevista en el artículo 24 del Acuerdo 27 de 2001, </w:t>
      </w:r>
      <w:r w:rsidRPr="00A93398">
        <w:rPr>
          <w:rStyle w:val="Cuerpodeltexto2Cursiva"/>
          <w:rFonts w:ascii="Verdana" w:hAnsi="Verdana"/>
          <w:sz w:val="24"/>
          <w:szCs w:val="24"/>
        </w:rPr>
        <w:t>“Por el cual se adecua el régimen sancionatorio en materia impositiva para el Distrito Capital de Bogotá”,</w:t>
      </w:r>
      <w:r w:rsidRPr="00A93398">
        <w:rPr>
          <w:rFonts w:ascii="Verdana" w:hAnsi="Verdana"/>
        </w:rPr>
        <w:t xml:space="preserve"> modificado por el artículo 9° del Acuerdo Distrital 756 de 2019, </w:t>
      </w:r>
      <w:r w:rsidRPr="00A93398">
        <w:rPr>
          <w:rStyle w:val="Cuerpodeltexto3"/>
          <w:rFonts w:ascii="Verdana" w:hAnsi="Verdana"/>
          <w:sz w:val="24"/>
          <w:szCs w:val="24"/>
        </w:rPr>
        <w:t>“Por el cual se expiden normas sustanciales tributarias, se extienden y amplían unos beneficios tributarios y se modifican algunas disposiciones procedimentales tributarias el Concejo de Bogotá, Distrito Capital</w:t>
      </w:r>
      <w:r w:rsidR="00A93398">
        <w:rPr>
          <w:rStyle w:val="Cuerpodeltexto3"/>
          <w:rFonts w:ascii="Verdana" w:hAnsi="Verdana"/>
          <w:sz w:val="24"/>
          <w:szCs w:val="24"/>
        </w:rPr>
        <w:t>”</w:t>
      </w:r>
      <w:r w:rsidRPr="00A93398">
        <w:rPr>
          <w:rStyle w:val="Cuerpodeltexto3"/>
          <w:rFonts w:ascii="Verdana" w:hAnsi="Verdana"/>
          <w:sz w:val="24"/>
          <w:szCs w:val="24"/>
        </w:rPr>
        <w:t>.</w:t>
      </w:r>
    </w:p>
    <w:p w14:paraId="483A004C" w14:textId="77777777" w:rsidR="00A93398" w:rsidRDefault="00A93398" w:rsidP="00A93398">
      <w:pPr>
        <w:pStyle w:val="Sinespaciado"/>
        <w:jc w:val="both"/>
        <w:rPr>
          <w:rFonts w:ascii="Verdana" w:hAnsi="Verdana"/>
        </w:rPr>
      </w:pPr>
    </w:p>
    <w:p w14:paraId="4927006B" w14:textId="0B5EA058" w:rsidR="00A121EB" w:rsidRPr="00A93398" w:rsidRDefault="00E76C2B" w:rsidP="00A93398">
      <w:pPr>
        <w:pStyle w:val="Sinespaciado"/>
        <w:jc w:val="both"/>
        <w:rPr>
          <w:rFonts w:ascii="Verdana" w:hAnsi="Verdana"/>
        </w:rPr>
      </w:pPr>
      <w:r w:rsidRPr="00A93398">
        <w:rPr>
          <w:rFonts w:ascii="Verdana" w:hAnsi="Verdana"/>
        </w:rPr>
        <w:t>Que mediante Resolución DDI - 396 de 18 de marzo de 2021, se establecieron las personas naturales, jurídicas, consorcios, uniones temporales y/o sociedades de hecho, el contenido y las características de la información que aquellas deben suministrar a la Dirección Distrital de Impuestos de Bogotá.</w:t>
      </w:r>
    </w:p>
    <w:p w14:paraId="146D0BFA" w14:textId="77777777" w:rsidR="00A93398" w:rsidRDefault="00A93398" w:rsidP="00A93398">
      <w:pPr>
        <w:pStyle w:val="Sinespaciado"/>
        <w:jc w:val="both"/>
        <w:rPr>
          <w:rFonts w:ascii="Verdana" w:hAnsi="Verdana"/>
        </w:rPr>
      </w:pPr>
    </w:p>
    <w:p w14:paraId="7847E99A" w14:textId="742A4384" w:rsidR="00A121EB" w:rsidRPr="00A93398" w:rsidRDefault="00E76C2B" w:rsidP="00A93398">
      <w:pPr>
        <w:pStyle w:val="Sinespaciado"/>
        <w:jc w:val="both"/>
        <w:rPr>
          <w:rFonts w:ascii="Verdana" w:hAnsi="Verdana"/>
        </w:rPr>
      </w:pPr>
      <w:r w:rsidRPr="00A93398">
        <w:rPr>
          <w:rFonts w:ascii="Verdana" w:hAnsi="Verdana"/>
        </w:rPr>
        <w:t>Que atendiendo lo dispuesto en el artículo 3° de la Resolución DDI-033705 de 20 de junio de 2018 y debido a la inestabilidad de los servicios tecnológicos de la Entidad, ocasionada por la alta demanda de su plataforma, el 24 de junio de 2021 fue declarada la contingencia para los vencimientos del reporte de información en medios magnéticos.</w:t>
      </w:r>
    </w:p>
    <w:p w14:paraId="2FF38724" w14:textId="77777777" w:rsidR="00A93398" w:rsidRDefault="00A93398" w:rsidP="00A93398">
      <w:pPr>
        <w:pStyle w:val="Sinespaciado"/>
        <w:jc w:val="both"/>
        <w:rPr>
          <w:rFonts w:ascii="Verdana" w:hAnsi="Verdana"/>
        </w:rPr>
      </w:pPr>
    </w:p>
    <w:p w14:paraId="79D9A5E3" w14:textId="36713463" w:rsidR="00A121EB" w:rsidRPr="00A93398" w:rsidRDefault="00E76C2B" w:rsidP="00A93398">
      <w:pPr>
        <w:pStyle w:val="Sinespaciado"/>
        <w:jc w:val="both"/>
        <w:rPr>
          <w:rFonts w:ascii="Verdana" w:hAnsi="Verdana"/>
        </w:rPr>
      </w:pPr>
      <w:r w:rsidRPr="00A93398">
        <w:rPr>
          <w:rFonts w:ascii="Verdana" w:hAnsi="Verdana"/>
        </w:rPr>
        <w:t>Que el 1° de julio de 2021 se ordenó el levantamiento de la contingencia y, en consecuencia, se hace necesario establecer nuevas fechas para los vencimientos establecidos en la Resolución DDI-00396 de 2021, con el fin de garantizar estabilidad en los servicios tecnológicos de la Entidad.</w:t>
      </w:r>
    </w:p>
    <w:p w14:paraId="5068C818" w14:textId="77777777" w:rsidR="00A93398" w:rsidRDefault="00A93398" w:rsidP="00A93398">
      <w:pPr>
        <w:pStyle w:val="Sinespaciado"/>
        <w:jc w:val="both"/>
        <w:rPr>
          <w:rFonts w:ascii="Verdana" w:hAnsi="Verdana"/>
        </w:rPr>
      </w:pPr>
    </w:p>
    <w:p w14:paraId="2DBDF9DD" w14:textId="2C944D5E" w:rsidR="00A121EB" w:rsidRPr="00A93398" w:rsidRDefault="00E76C2B" w:rsidP="00A93398">
      <w:pPr>
        <w:pStyle w:val="Sinespaciado"/>
        <w:jc w:val="both"/>
        <w:rPr>
          <w:rFonts w:ascii="Verdana" w:hAnsi="Verdana"/>
        </w:rPr>
      </w:pPr>
      <w:r w:rsidRPr="00A93398">
        <w:rPr>
          <w:rFonts w:ascii="Verdana" w:hAnsi="Verdana"/>
        </w:rPr>
        <w:t>Que el proyecto de Resolución no requiere ser publicado en los términos del artículo 8 de la Ley 1437 de 2011, en tanto no modifica aspectos sustanciales de la Resolución DDI-396 de 18 de marzo de 2021.</w:t>
      </w:r>
    </w:p>
    <w:p w14:paraId="1739AE85" w14:textId="77777777" w:rsidR="00A93398" w:rsidRDefault="00A93398" w:rsidP="00A93398">
      <w:pPr>
        <w:pStyle w:val="Sinespaciado"/>
        <w:jc w:val="both"/>
        <w:rPr>
          <w:rFonts w:ascii="Verdana" w:hAnsi="Verdana"/>
        </w:rPr>
      </w:pPr>
    </w:p>
    <w:p w14:paraId="6C276BA0" w14:textId="5ED11C5B" w:rsidR="00A121EB" w:rsidRPr="00A93398" w:rsidRDefault="00E76C2B" w:rsidP="00A93398">
      <w:pPr>
        <w:pStyle w:val="Sinespaciado"/>
        <w:jc w:val="both"/>
        <w:rPr>
          <w:rFonts w:ascii="Verdana" w:hAnsi="Verdana"/>
        </w:rPr>
      </w:pPr>
      <w:r w:rsidRPr="00A93398">
        <w:rPr>
          <w:rFonts w:ascii="Verdana" w:hAnsi="Verdana"/>
        </w:rPr>
        <w:t>En mérito de lo expuesto,</w:t>
      </w:r>
    </w:p>
    <w:p w14:paraId="7406FD42" w14:textId="77777777" w:rsidR="00A93398" w:rsidRDefault="00A93398" w:rsidP="00A93398">
      <w:pPr>
        <w:pStyle w:val="Sinespaciado"/>
        <w:jc w:val="both"/>
        <w:rPr>
          <w:rFonts w:ascii="Verdana" w:hAnsi="Verdana"/>
        </w:rPr>
      </w:pPr>
      <w:bookmarkStart w:id="4" w:name="bookmark3"/>
    </w:p>
    <w:p w14:paraId="3F58B8E2" w14:textId="1AE8E788" w:rsidR="00A121EB" w:rsidRPr="00A93398" w:rsidRDefault="00E76C2B" w:rsidP="00A93398">
      <w:pPr>
        <w:pStyle w:val="Sinespaciado"/>
        <w:jc w:val="both"/>
        <w:rPr>
          <w:rFonts w:ascii="Verdana" w:hAnsi="Verdana"/>
          <w:b/>
          <w:bCs/>
        </w:rPr>
      </w:pPr>
      <w:r w:rsidRPr="00A93398">
        <w:rPr>
          <w:rFonts w:ascii="Verdana" w:hAnsi="Verdana"/>
          <w:b/>
          <w:bCs/>
        </w:rPr>
        <w:t>RESUELVE:</w:t>
      </w:r>
      <w:bookmarkEnd w:id="4"/>
    </w:p>
    <w:p w14:paraId="5A3AD538" w14:textId="77777777" w:rsidR="00A93398" w:rsidRDefault="00A93398" w:rsidP="00A93398">
      <w:pPr>
        <w:pStyle w:val="Sinespaciado"/>
        <w:jc w:val="both"/>
        <w:rPr>
          <w:rStyle w:val="Cuerpodeltexto2Negrita"/>
          <w:rFonts w:ascii="Verdana" w:hAnsi="Verdana"/>
          <w:sz w:val="24"/>
          <w:szCs w:val="24"/>
        </w:rPr>
      </w:pPr>
    </w:p>
    <w:p w14:paraId="49B99556" w14:textId="4B2EB74D" w:rsidR="00A121EB" w:rsidRPr="00A93398" w:rsidRDefault="00E76C2B" w:rsidP="00A93398">
      <w:pPr>
        <w:pStyle w:val="Sinespaciado"/>
        <w:jc w:val="both"/>
        <w:rPr>
          <w:rFonts w:ascii="Verdana" w:hAnsi="Verdana"/>
        </w:rPr>
      </w:pPr>
      <w:r w:rsidRPr="00A93398">
        <w:rPr>
          <w:rStyle w:val="Cuerpodeltexto2Negrita"/>
          <w:rFonts w:ascii="Verdana" w:hAnsi="Verdana"/>
          <w:sz w:val="24"/>
          <w:szCs w:val="24"/>
        </w:rPr>
        <w:t xml:space="preserve">Artículo 1°. </w:t>
      </w:r>
      <w:r w:rsidRPr="00A93398">
        <w:rPr>
          <w:rFonts w:ascii="Verdana" w:hAnsi="Verdana"/>
        </w:rPr>
        <w:t>Modifíquese el artículo 17 de la Resolución DDI-000396 de 18 de marzo de 2021, el cual quedará así:</w:t>
      </w:r>
    </w:p>
    <w:p w14:paraId="4E881C2E" w14:textId="77777777" w:rsidR="00A93398" w:rsidRDefault="00A93398" w:rsidP="00A93398">
      <w:pPr>
        <w:pStyle w:val="Sinespaciado"/>
        <w:jc w:val="both"/>
        <w:rPr>
          <w:rStyle w:val="Cuerpodeltexto3Negrita"/>
          <w:rFonts w:ascii="Verdana" w:hAnsi="Verdana"/>
          <w:sz w:val="24"/>
          <w:szCs w:val="24"/>
        </w:rPr>
      </w:pPr>
    </w:p>
    <w:p w14:paraId="48CB03CB" w14:textId="2F5D4C1A" w:rsidR="00A121EB" w:rsidRDefault="00E76C2B" w:rsidP="00A93398">
      <w:pPr>
        <w:pStyle w:val="Sinespaciado"/>
        <w:ind w:left="708"/>
        <w:jc w:val="both"/>
        <w:rPr>
          <w:rFonts w:ascii="Verdana" w:hAnsi="Verdana"/>
          <w:i/>
          <w:iCs/>
        </w:rPr>
      </w:pPr>
      <w:r w:rsidRPr="00A93398">
        <w:rPr>
          <w:rStyle w:val="Cuerpodeltexto3Negrita"/>
          <w:rFonts w:ascii="Verdana" w:hAnsi="Verdana"/>
          <w:sz w:val="24"/>
          <w:szCs w:val="24"/>
        </w:rPr>
        <w:t xml:space="preserve">Artículo 17°. Plazo para presentar la información. </w:t>
      </w:r>
      <w:r w:rsidRPr="00A93398">
        <w:rPr>
          <w:rFonts w:ascii="Verdana" w:hAnsi="Verdana"/>
          <w:i/>
          <w:iCs/>
        </w:rPr>
        <w:t>La entrega de la información exógena a que se refiere la presente Resolución deberá realizarse en las siguientes fechas:</w:t>
      </w:r>
    </w:p>
    <w:p w14:paraId="293D549E" w14:textId="77777777" w:rsidR="00A93398" w:rsidRDefault="00A93398" w:rsidP="00A93398">
      <w:pPr>
        <w:pStyle w:val="Sinespaciado"/>
        <w:ind w:left="708"/>
        <w:jc w:val="both"/>
        <w:rPr>
          <w:rFonts w:ascii="Verdana" w:hAnsi="Verdana"/>
          <w:i/>
          <w:iC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46"/>
        <w:gridCol w:w="3221"/>
      </w:tblGrid>
      <w:tr w:rsidR="00A121EB" w:rsidRPr="00A93398" w14:paraId="35B26E46" w14:textId="77777777" w:rsidTr="00A93398">
        <w:trPr>
          <w:trHeight w:hRule="exact" w:val="539"/>
          <w:jc w:val="center"/>
        </w:trPr>
        <w:tc>
          <w:tcPr>
            <w:tcW w:w="2746" w:type="dxa"/>
            <w:shd w:val="clear" w:color="auto" w:fill="FFFFFF"/>
            <w:vAlign w:val="center"/>
          </w:tcPr>
          <w:p w14:paraId="55684639" w14:textId="77777777" w:rsidR="00A121EB" w:rsidRPr="00A93398" w:rsidRDefault="00E76C2B" w:rsidP="00A93398">
            <w:pPr>
              <w:pStyle w:val="Sinespaciado"/>
              <w:jc w:val="center"/>
              <w:rPr>
                <w:rFonts w:ascii="Verdana" w:hAnsi="Verdana"/>
                <w:b/>
                <w:bCs/>
                <w:sz w:val="20"/>
                <w:szCs w:val="20"/>
              </w:rPr>
            </w:pPr>
            <w:r w:rsidRPr="00A93398">
              <w:rPr>
                <w:rStyle w:val="Cuerpodeltexto2Cursiva"/>
                <w:rFonts w:ascii="Verdana" w:hAnsi="Verdana"/>
                <w:b/>
                <w:bCs/>
                <w:sz w:val="20"/>
                <w:szCs w:val="20"/>
              </w:rPr>
              <w:t>Último dígito de</w:t>
            </w:r>
          </w:p>
          <w:p w14:paraId="1C5AE1FC" w14:textId="77777777" w:rsidR="00A121EB" w:rsidRPr="00A93398" w:rsidRDefault="00E76C2B" w:rsidP="00A93398">
            <w:pPr>
              <w:pStyle w:val="Sinespaciado"/>
              <w:jc w:val="center"/>
              <w:rPr>
                <w:rFonts w:ascii="Verdana" w:hAnsi="Verdana"/>
                <w:b/>
                <w:bCs/>
                <w:sz w:val="20"/>
                <w:szCs w:val="20"/>
              </w:rPr>
            </w:pPr>
            <w:r w:rsidRPr="00A93398">
              <w:rPr>
                <w:rStyle w:val="Cuerpodeltexto2Cursiva"/>
                <w:rFonts w:ascii="Verdana" w:hAnsi="Verdana"/>
                <w:b/>
                <w:bCs/>
                <w:sz w:val="20"/>
                <w:szCs w:val="20"/>
              </w:rPr>
              <w:t>identificación</w:t>
            </w:r>
          </w:p>
        </w:tc>
        <w:tc>
          <w:tcPr>
            <w:tcW w:w="3221" w:type="dxa"/>
            <w:shd w:val="clear" w:color="auto" w:fill="FFFFFF"/>
            <w:vAlign w:val="center"/>
          </w:tcPr>
          <w:p w14:paraId="659C3BE3" w14:textId="77777777" w:rsidR="00A121EB" w:rsidRPr="00A93398" w:rsidRDefault="00E76C2B" w:rsidP="00A93398">
            <w:pPr>
              <w:pStyle w:val="Sinespaciado"/>
              <w:jc w:val="center"/>
              <w:rPr>
                <w:rFonts w:ascii="Verdana" w:hAnsi="Verdana"/>
                <w:b/>
                <w:bCs/>
                <w:sz w:val="20"/>
                <w:szCs w:val="20"/>
              </w:rPr>
            </w:pPr>
            <w:r w:rsidRPr="00A93398">
              <w:rPr>
                <w:rStyle w:val="Cuerpodeltexto2Cursiva"/>
                <w:rFonts w:ascii="Verdana" w:hAnsi="Verdana"/>
                <w:b/>
                <w:bCs/>
                <w:sz w:val="20"/>
                <w:szCs w:val="20"/>
              </w:rPr>
              <w:t>Fecha límite</w:t>
            </w:r>
          </w:p>
        </w:tc>
      </w:tr>
      <w:tr w:rsidR="00A121EB" w:rsidRPr="00A93398" w14:paraId="39818757" w14:textId="77777777" w:rsidTr="00A93398">
        <w:trPr>
          <w:trHeight w:hRule="exact" w:val="264"/>
          <w:jc w:val="center"/>
        </w:trPr>
        <w:tc>
          <w:tcPr>
            <w:tcW w:w="2746" w:type="dxa"/>
            <w:shd w:val="clear" w:color="auto" w:fill="FFFFFF"/>
            <w:vAlign w:val="center"/>
          </w:tcPr>
          <w:p w14:paraId="193D421B"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0</w:t>
            </w:r>
          </w:p>
        </w:tc>
        <w:tc>
          <w:tcPr>
            <w:tcW w:w="3221" w:type="dxa"/>
            <w:shd w:val="clear" w:color="auto" w:fill="FFFFFF"/>
            <w:vAlign w:val="center"/>
          </w:tcPr>
          <w:p w14:paraId="5E1DD502"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6 de julio de 2021</w:t>
            </w:r>
          </w:p>
        </w:tc>
      </w:tr>
      <w:tr w:rsidR="00A121EB" w:rsidRPr="00A93398" w14:paraId="263C38D3" w14:textId="77777777" w:rsidTr="00A93398">
        <w:trPr>
          <w:trHeight w:hRule="exact" w:val="259"/>
          <w:jc w:val="center"/>
        </w:trPr>
        <w:tc>
          <w:tcPr>
            <w:tcW w:w="2746" w:type="dxa"/>
            <w:shd w:val="clear" w:color="auto" w:fill="FFFFFF"/>
            <w:vAlign w:val="center"/>
          </w:tcPr>
          <w:p w14:paraId="3931F7BD"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w:t>
            </w:r>
          </w:p>
        </w:tc>
        <w:tc>
          <w:tcPr>
            <w:tcW w:w="3221" w:type="dxa"/>
            <w:shd w:val="clear" w:color="auto" w:fill="FFFFFF"/>
            <w:vAlign w:val="center"/>
          </w:tcPr>
          <w:p w14:paraId="4CF9CD0D"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7 de julio de 2021</w:t>
            </w:r>
          </w:p>
        </w:tc>
      </w:tr>
      <w:tr w:rsidR="00A121EB" w:rsidRPr="00A93398" w14:paraId="10B5D505" w14:textId="77777777" w:rsidTr="00A93398">
        <w:trPr>
          <w:trHeight w:hRule="exact" w:val="264"/>
          <w:jc w:val="center"/>
        </w:trPr>
        <w:tc>
          <w:tcPr>
            <w:tcW w:w="2746" w:type="dxa"/>
            <w:shd w:val="clear" w:color="auto" w:fill="FFFFFF"/>
            <w:vAlign w:val="center"/>
          </w:tcPr>
          <w:p w14:paraId="6F5CCCF8"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2</w:t>
            </w:r>
          </w:p>
        </w:tc>
        <w:tc>
          <w:tcPr>
            <w:tcW w:w="3221" w:type="dxa"/>
            <w:shd w:val="clear" w:color="auto" w:fill="FFFFFF"/>
            <w:vAlign w:val="center"/>
          </w:tcPr>
          <w:p w14:paraId="56302986"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8 de julio de 2021</w:t>
            </w:r>
          </w:p>
        </w:tc>
      </w:tr>
      <w:tr w:rsidR="00A121EB" w:rsidRPr="00A93398" w14:paraId="0B8F8942" w14:textId="77777777" w:rsidTr="00A93398">
        <w:trPr>
          <w:trHeight w:hRule="exact" w:val="264"/>
          <w:jc w:val="center"/>
        </w:trPr>
        <w:tc>
          <w:tcPr>
            <w:tcW w:w="2746" w:type="dxa"/>
            <w:shd w:val="clear" w:color="auto" w:fill="FFFFFF"/>
            <w:vAlign w:val="center"/>
          </w:tcPr>
          <w:p w14:paraId="2AB9E467"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lastRenderedPageBreak/>
              <w:t>3</w:t>
            </w:r>
          </w:p>
        </w:tc>
        <w:tc>
          <w:tcPr>
            <w:tcW w:w="3221" w:type="dxa"/>
            <w:shd w:val="clear" w:color="auto" w:fill="FFFFFF"/>
            <w:vAlign w:val="center"/>
          </w:tcPr>
          <w:p w14:paraId="387C171D"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9 de julio de 2021</w:t>
            </w:r>
          </w:p>
        </w:tc>
      </w:tr>
      <w:tr w:rsidR="00A121EB" w:rsidRPr="00A93398" w14:paraId="0728C354" w14:textId="77777777" w:rsidTr="00A93398">
        <w:trPr>
          <w:trHeight w:hRule="exact" w:val="264"/>
          <w:jc w:val="center"/>
        </w:trPr>
        <w:tc>
          <w:tcPr>
            <w:tcW w:w="2746" w:type="dxa"/>
            <w:shd w:val="clear" w:color="auto" w:fill="FFFFFF"/>
            <w:vAlign w:val="center"/>
          </w:tcPr>
          <w:p w14:paraId="1C9154AA"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4</w:t>
            </w:r>
          </w:p>
        </w:tc>
        <w:tc>
          <w:tcPr>
            <w:tcW w:w="3221" w:type="dxa"/>
            <w:shd w:val="clear" w:color="auto" w:fill="FFFFFF"/>
            <w:vAlign w:val="center"/>
          </w:tcPr>
          <w:p w14:paraId="0E69AD44"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12 de julio de 2021</w:t>
            </w:r>
          </w:p>
        </w:tc>
      </w:tr>
      <w:tr w:rsidR="00A121EB" w:rsidRPr="00A93398" w14:paraId="71208E1F" w14:textId="77777777" w:rsidTr="00A93398">
        <w:trPr>
          <w:trHeight w:hRule="exact" w:val="264"/>
          <w:jc w:val="center"/>
        </w:trPr>
        <w:tc>
          <w:tcPr>
            <w:tcW w:w="2746" w:type="dxa"/>
            <w:shd w:val="clear" w:color="auto" w:fill="FFFFFF"/>
            <w:vAlign w:val="center"/>
          </w:tcPr>
          <w:p w14:paraId="41DA14C7"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5</w:t>
            </w:r>
          </w:p>
        </w:tc>
        <w:tc>
          <w:tcPr>
            <w:tcW w:w="3221" w:type="dxa"/>
            <w:shd w:val="clear" w:color="auto" w:fill="FFFFFF"/>
            <w:vAlign w:val="center"/>
          </w:tcPr>
          <w:p w14:paraId="665BF706"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13 de julio de 2021</w:t>
            </w:r>
          </w:p>
        </w:tc>
      </w:tr>
      <w:tr w:rsidR="00A121EB" w:rsidRPr="00A93398" w14:paraId="56114E46" w14:textId="77777777" w:rsidTr="00A93398">
        <w:trPr>
          <w:trHeight w:hRule="exact" w:val="259"/>
          <w:jc w:val="center"/>
        </w:trPr>
        <w:tc>
          <w:tcPr>
            <w:tcW w:w="2746" w:type="dxa"/>
            <w:shd w:val="clear" w:color="auto" w:fill="FFFFFF"/>
            <w:vAlign w:val="center"/>
          </w:tcPr>
          <w:p w14:paraId="08F93F84"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6</w:t>
            </w:r>
          </w:p>
        </w:tc>
        <w:tc>
          <w:tcPr>
            <w:tcW w:w="3221" w:type="dxa"/>
            <w:shd w:val="clear" w:color="auto" w:fill="FFFFFF"/>
            <w:vAlign w:val="center"/>
          </w:tcPr>
          <w:p w14:paraId="5D064EFE"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14 de julio de 2021</w:t>
            </w:r>
          </w:p>
        </w:tc>
      </w:tr>
      <w:tr w:rsidR="00A121EB" w:rsidRPr="00A93398" w14:paraId="21D85AA4" w14:textId="77777777" w:rsidTr="00A93398">
        <w:trPr>
          <w:trHeight w:hRule="exact" w:val="264"/>
          <w:jc w:val="center"/>
        </w:trPr>
        <w:tc>
          <w:tcPr>
            <w:tcW w:w="2746" w:type="dxa"/>
            <w:shd w:val="clear" w:color="auto" w:fill="FFFFFF"/>
            <w:vAlign w:val="center"/>
          </w:tcPr>
          <w:p w14:paraId="70F4B1C3"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7</w:t>
            </w:r>
          </w:p>
        </w:tc>
        <w:tc>
          <w:tcPr>
            <w:tcW w:w="3221" w:type="dxa"/>
            <w:shd w:val="clear" w:color="auto" w:fill="FFFFFF"/>
            <w:vAlign w:val="center"/>
          </w:tcPr>
          <w:p w14:paraId="765479FA"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15 de julio de 2021</w:t>
            </w:r>
          </w:p>
        </w:tc>
      </w:tr>
      <w:tr w:rsidR="00A121EB" w:rsidRPr="00A93398" w14:paraId="55DBC291" w14:textId="77777777" w:rsidTr="00A93398">
        <w:trPr>
          <w:trHeight w:hRule="exact" w:val="264"/>
          <w:jc w:val="center"/>
        </w:trPr>
        <w:tc>
          <w:tcPr>
            <w:tcW w:w="2746" w:type="dxa"/>
            <w:shd w:val="clear" w:color="auto" w:fill="FFFFFF"/>
            <w:vAlign w:val="center"/>
          </w:tcPr>
          <w:p w14:paraId="041A11EF"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8</w:t>
            </w:r>
          </w:p>
        </w:tc>
        <w:tc>
          <w:tcPr>
            <w:tcW w:w="3221" w:type="dxa"/>
            <w:shd w:val="clear" w:color="auto" w:fill="FFFFFF"/>
            <w:vAlign w:val="center"/>
          </w:tcPr>
          <w:p w14:paraId="772EB4D2"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16 de julio de 2021</w:t>
            </w:r>
          </w:p>
        </w:tc>
      </w:tr>
      <w:tr w:rsidR="00A121EB" w:rsidRPr="00A93398" w14:paraId="64B6FDCB" w14:textId="77777777" w:rsidTr="00A93398">
        <w:trPr>
          <w:trHeight w:hRule="exact" w:val="269"/>
          <w:jc w:val="center"/>
        </w:trPr>
        <w:tc>
          <w:tcPr>
            <w:tcW w:w="2746" w:type="dxa"/>
            <w:shd w:val="clear" w:color="auto" w:fill="FFFFFF"/>
            <w:vAlign w:val="center"/>
          </w:tcPr>
          <w:p w14:paraId="6AC40C44"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9</w:t>
            </w:r>
          </w:p>
        </w:tc>
        <w:tc>
          <w:tcPr>
            <w:tcW w:w="3221" w:type="dxa"/>
            <w:shd w:val="clear" w:color="auto" w:fill="FFFFFF"/>
            <w:vAlign w:val="center"/>
          </w:tcPr>
          <w:p w14:paraId="7E177380" w14:textId="77777777" w:rsidR="00A121EB" w:rsidRPr="00A93398" w:rsidRDefault="00E76C2B" w:rsidP="00A93398">
            <w:pPr>
              <w:pStyle w:val="Sinespaciado"/>
              <w:jc w:val="center"/>
              <w:rPr>
                <w:rFonts w:ascii="Verdana" w:hAnsi="Verdana"/>
                <w:sz w:val="20"/>
                <w:szCs w:val="20"/>
              </w:rPr>
            </w:pPr>
            <w:r w:rsidRPr="00A93398">
              <w:rPr>
                <w:rStyle w:val="Cuerpodeltexto2Cursiva"/>
                <w:rFonts w:ascii="Verdana" w:hAnsi="Verdana"/>
                <w:sz w:val="20"/>
                <w:szCs w:val="20"/>
              </w:rPr>
              <w:t>19 de julio de 2021</w:t>
            </w:r>
          </w:p>
        </w:tc>
      </w:tr>
    </w:tbl>
    <w:p w14:paraId="5B333E2B" w14:textId="77777777" w:rsidR="00A121EB" w:rsidRPr="00A93398" w:rsidRDefault="00A121EB" w:rsidP="00A93398">
      <w:pPr>
        <w:pStyle w:val="Sinespaciado"/>
        <w:jc w:val="both"/>
        <w:rPr>
          <w:rFonts w:ascii="Verdana" w:hAnsi="Verdana"/>
        </w:rPr>
      </w:pPr>
    </w:p>
    <w:p w14:paraId="0388E7E9" w14:textId="77777777" w:rsidR="00A121EB" w:rsidRPr="00A93398" w:rsidRDefault="00E76C2B" w:rsidP="00A93398">
      <w:pPr>
        <w:pStyle w:val="Sinespaciado"/>
        <w:jc w:val="both"/>
        <w:rPr>
          <w:rFonts w:ascii="Verdana" w:hAnsi="Verdana"/>
        </w:rPr>
      </w:pPr>
      <w:r w:rsidRPr="00A93398">
        <w:rPr>
          <w:rStyle w:val="Cuerpodeltexto2Negrita"/>
          <w:rFonts w:ascii="Verdana" w:hAnsi="Verdana"/>
          <w:sz w:val="24"/>
          <w:szCs w:val="24"/>
        </w:rPr>
        <w:t>Artículo 2°</w:t>
      </w:r>
      <w:r w:rsidRPr="00A93398">
        <w:rPr>
          <w:rFonts w:ascii="Verdana" w:hAnsi="Verdana"/>
        </w:rPr>
        <w:t xml:space="preserve">. </w:t>
      </w:r>
      <w:r w:rsidRPr="00A93398">
        <w:rPr>
          <w:rStyle w:val="Cuerpodeltexto2Negrita"/>
          <w:rFonts w:ascii="Verdana" w:hAnsi="Verdana"/>
          <w:sz w:val="24"/>
          <w:szCs w:val="24"/>
        </w:rPr>
        <w:t>Vigencia</w:t>
      </w:r>
      <w:r w:rsidRPr="00A93398">
        <w:rPr>
          <w:rFonts w:ascii="Verdana" w:hAnsi="Verdana"/>
        </w:rPr>
        <w:t>. La presente Resolución rige a partir de la fecha de su publicación en el Registro Distrital.</w:t>
      </w:r>
    </w:p>
    <w:p w14:paraId="5BB274A0" w14:textId="77777777" w:rsidR="00A93398" w:rsidRDefault="00A93398" w:rsidP="00A93398">
      <w:pPr>
        <w:pStyle w:val="Sinespaciado"/>
        <w:jc w:val="both"/>
        <w:rPr>
          <w:rFonts w:ascii="Verdana" w:hAnsi="Verdana"/>
        </w:rPr>
      </w:pPr>
      <w:bookmarkStart w:id="5" w:name="bookmark4"/>
    </w:p>
    <w:p w14:paraId="36357EB5" w14:textId="0343D0EB" w:rsidR="00A121EB" w:rsidRPr="00A93398" w:rsidRDefault="00E76C2B" w:rsidP="00A93398">
      <w:pPr>
        <w:pStyle w:val="Sinespaciado"/>
        <w:jc w:val="both"/>
        <w:rPr>
          <w:rFonts w:ascii="Verdana" w:hAnsi="Verdana"/>
          <w:b/>
          <w:bCs/>
        </w:rPr>
      </w:pPr>
      <w:r w:rsidRPr="00A93398">
        <w:rPr>
          <w:rFonts w:ascii="Verdana" w:hAnsi="Verdana"/>
          <w:b/>
          <w:bCs/>
        </w:rPr>
        <w:t>PUBLÍQUESE Y CÚMPLASE</w:t>
      </w:r>
      <w:bookmarkEnd w:id="5"/>
    </w:p>
    <w:p w14:paraId="3DBBF855" w14:textId="77777777" w:rsidR="00A93398" w:rsidRDefault="00A93398" w:rsidP="00A93398">
      <w:pPr>
        <w:pStyle w:val="Sinespaciado"/>
        <w:jc w:val="both"/>
        <w:rPr>
          <w:rFonts w:ascii="Verdana" w:hAnsi="Verdana"/>
        </w:rPr>
      </w:pPr>
    </w:p>
    <w:p w14:paraId="6CD0552B" w14:textId="77777777" w:rsidR="00A93398" w:rsidRDefault="00A93398" w:rsidP="00A93398">
      <w:pPr>
        <w:pStyle w:val="Sinespaciado"/>
        <w:jc w:val="both"/>
        <w:rPr>
          <w:rFonts w:ascii="Verdana" w:hAnsi="Verdana"/>
          <w:b/>
          <w:bCs/>
        </w:rPr>
      </w:pPr>
    </w:p>
    <w:p w14:paraId="79C14393" w14:textId="77777777" w:rsidR="00A93398" w:rsidRDefault="00A93398" w:rsidP="00A93398">
      <w:pPr>
        <w:pStyle w:val="Sinespaciado"/>
        <w:jc w:val="both"/>
        <w:rPr>
          <w:rFonts w:ascii="Verdana" w:hAnsi="Verdana"/>
          <w:b/>
          <w:bCs/>
        </w:rPr>
      </w:pPr>
    </w:p>
    <w:p w14:paraId="0970D2CC" w14:textId="0F603AED" w:rsidR="00A93398" w:rsidRPr="00A93398" w:rsidRDefault="00A93398" w:rsidP="00A93398">
      <w:pPr>
        <w:pStyle w:val="Sinespaciado"/>
        <w:jc w:val="both"/>
        <w:rPr>
          <w:rFonts w:ascii="Verdana" w:hAnsi="Verdana"/>
          <w:b/>
          <w:bCs/>
        </w:rPr>
      </w:pPr>
      <w:r w:rsidRPr="00A93398">
        <w:rPr>
          <w:rFonts w:ascii="Verdana" w:hAnsi="Verdana"/>
          <w:b/>
          <w:bCs/>
        </w:rPr>
        <w:t>ORLANDO VALBUENA</w:t>
      </w:r>
      <w:bookmarkStart w:id="6" w:name="bookmark5"/>
      <w:r w:rsidRPr="00A93398">
        <w:rPr>
          <w:rFonts w:ascii="Verdana" w:hAnsi="Verdana"/>
          <w:b/>
          <w:bCs/>
        </w:rPr>
        <w:t xml:space="preserve"> </w:t>
      </w:r>
      <w:bookmarkEnd w:id="6"/>
      <w:r w:rsidRPr="00A93398">
        <w:rPr>
          <w:rFonts w:ascii="Verdana" w:hAnsi="Verdana"/>
          <w:b/>
          <w:bCs/>
        </w:rPr>
        <w:t>GÓMEZ</w:t>
      </w:r>
    </w:p>
    <w:p w14:paraId="202D3695" w14:textId="3DC6A9E7" w:rsidR="00A121EB" w:rsidRPr="00A93398" w:rsidRDefault="00E76C2B" w:rsidP="00A93398">
      <w:pPr>
        <w:pStyle w:val="Sinespaciado"/>
        <w:jc w:val="both"/>
        <w:rPr>
          <w:rFonts w:ascii="Verdana" w:hAnsi="Verdana"/>
        </w:rPr>
      </w:pPr>
      <w:r w:rsidRPr="00A93398">
        <w:rPr>
          <w:rFonts w:ascii="Verdana" w:hAnsi="Verdana"/>
        </w:rPr>
        <w:t>Director Distrital de Impuestos de Bogotá - DIB</w:t>
      </w:r>
    </w:p>
    <w:sectPr w:rsidR="00A121EB" w:rsidRPr="00A93398" w:rsidSect="00A93398">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2850" w14:textId="77777777" w:rsidR="007C5B79" w:rsidRDefault="007C5B79">
      <w:r>
        <w:separator/>
      </w:r>
    </w:p>
  </w:endnote>
  <w:endnote w:type="continuationSeparator" w:id="0">
    <w:p w14:paraId="5A2C77A9" w14:textId="77777777" w:rsidR="007C5B79" w:rsidRDefault="007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0606" w14:textId="77777777" w:rsidR="007C5B79" w:rsidRDefault="007C5B79"/>
  </w:footnote>
  <w:footnote w:type="continuationSeparator" w:id="0">
    <w:p w14:paraId="0E840438" w14:textId="77777777" w:rsidR="007C5B79" w:rsidRDefault="007C5B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EB"/>
    <w:rsid w:val="007C5B79"/>
    <w:rsid w:val="008539B2"/>
    <w:rsid w:val="00A121EB"/>
    <w:rsid w:val="00A93398"/>
    <w:rsid w:val="00E76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153C"/>
  <w15:docId w15:val="{239C2FB2-B90E-4403-BC99-23072E9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2">
    <w:name w:val="Título #1 (2)_"/>
    <w:basedOn w:val="Fuentedeprrafopredeter"/>
    <w:link w:val="Ttulo120"/>
    <w:rPr>
      <w:rFonts w:ascii="Bookman Old Style" w:eastAsia="Bookman Old Style" w:hAnsi="Bookman Old Style" w:cs="Bookman Old Style"/>
      <w:b w:val="0"/>
      <w:bCs w:val="0"/>
      <w:i/>
      <w:iCs/>
      <w:smallCaps w:val="0"/>
      <w:strike w:val="0"/>
      <w:sz w:val="22"/>
      <w:szCs w:val="22"/>
      <w:u w:val="none"/>
    </w:rPr>
  </w:style>
  <w:style w:type="character" w:customStyle="1" w:styleId="Ttulo121">
    <w:name w:val="Título #1 (2)"/>
    <w:basedOn w:val="Ttulo12"/>
    <w:rPr>
      <w:rFonts w:ascii="Bookman Old Style" w:eastAsia="Bookman Old Style" w:hAnsi="Bookman Old Style" w:cs="Bookman Old Style"/>
      <w:b w:val="0"/>
      <w:bCs w:val="0"/>
      <w:i/>
      <w:iCs/>
      <w:smallCaps w:val="0"/>
      <w:strike w:val="0"/>
      <w:color w:val="000000"/>
      <w:spacing w:val="0"/>
      <w:w w:val="100"/>
      <w:position w:val="0"/>
      <w:sz w:val="22"/>
      <w:szCs w:val="22"/>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2"/>
      <w:szCs w:val="22"/>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2"/>
      <w:szCs w:val="22"/>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3Sincursiva">
    <w:name w:val="Cuerpo del texto (3) + Sin cursiva"/>
    <w:basedOn w:val="Cuerpodeltexto3"/>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3Negrita">
    <w:name w:val="Cuerpo del texto (3) + Negrita"/>
    <w:basedOn w:val="Cuerpodeltexto3"/>
    <w:rPr>
      <w:rFonts w:ascii="Arial" w:eastAsia="Arial" w:hAnsi="Arial" w:cs="Arial"/>
      <w:b/>
      <w:bCs/>
      <w:i/>
      <w:iCs/>
      <w:smallCaps w:val="0"/>
      <w:strike w:val="0"/>
      <w:color w:val="000000"/>
      <w:spacing w:val="0"/>
      <w:w w:val="100"/>
      <w:position w:val="0"/>
      <w:sz w:val="22"/>
      <w:szCs w:val="22"/>
      <w:u w:val="none"/>
      <w:lang w:val="es-ES" w:eastAsia="es-ES" w:bidi="es-ES"/>
    </w:rPr>
  </w:style>
  <w:style w:type="character" w:customStyle="1" w:styleId="Cuerpodeltexto8">
    <w:name w:val="Cuerpo del texto (8)_"/>
    <w:basedOn w:val="Fuentedeprrafopredeter"/>
    <w:link w:val="Cuerpodeltexto80"/>
    <w:rPr>
      <w:rFonts w:ascii="Segoe UI" w:eastAsia="Segoe UI" w:hAnsi="Segoe UI" w:cs="Segoe UI"/>
      <w:b w:val="0"/>
      <w:bCs w:val="0"/>
      <w:i w:val="0"/>
      <w:iCs w:val="0"/>
      <w:smallCaps w:val="0"/>
      <w:strike w:val="0"/>
      <w:sz w:val="26"/>
      <w:szCs w:val="26"/>
      <w:u w:val="none"/>
    </w:rPr>
  </w:style>
  <w:style w:type="character" w:customStyle="1" w:styleId="Cuerpodeltexto810pto">
    <w:name w:val="Cuerpo del texto (8) + 10 pto"/>
    <w:basedOn w:val="Cuerpodeltexto8"/>
    <w:rPr>
      <w:rFonts w:ascii="Segoe UI" w:eastAsia="Segoe UI" w:hAnsi="Segoe UI" w:cs="Segoe UI"/>
      <w:b w:val="0"/>
      <w:bCs w:val="0"/>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Segoe UI" w:eastAsia="Segoe UI" w:hAnsi="Segoe UI" w:cs="Segoe UI"/>
      <w:b w:val="0"/>
      <w:bCs w:val="0"/>
      <w:i w:val="0"/>
      <w:iCs w:val="0"/>
      <w:smallCaps w:val="0"/>
      <w:strike w:val="0"/>
      <w:sz w:val="20"/>
      <w:szCs w:val="20"/>
      <w:u w:val="none"/>
    </w:rPr>
  </w:style>
  <w:style w:type="character" w:customStyle="1" w:styleId="Ttulo2">
    <w:name w:val="Título #2_"/>
    <w:basedOn w:val="Fuentedeprrafopredeter"/>
    <w:link w:val="Ttulo20"/>
    <w:rPr>
      <w:rFonts w:ascii="Segoe UI" w:eastAsia="Segoe UI" w:hAnsi="Segoe UI" w:cs="Segoe UI"/>
      <w:b w:val="0"/>
      <w:bCs w:val="0"/>
      <w:i w:val="0"/>
      <w:iCs w:val="0"/>
      <w:smallCaps w:val="0"/>
      <w:strike w:val="0"/>
      <w:sz w:val="26"/>
      <w:szCs w:val="26"/>
      <w:u w:val="none"/>
    </w:rPr>
  </w:style>
  <w:style w:type="character" w:customStyle="1" w:styleId="Ttulo210pto">
    <w:name w:val="Título #2 + 10 pto"/>
    <w:basedOn w:val="Ttulo2"/>
    <w:rPr>
      <w:rFonts w:ascii="Segoe UI" w:eastAsia="Segoe UI" w:hAnsi="Segoe UI" w:cs="Segoe UI"/>
      <w:b w:val="0"/>
      <w:bCs w:val="0"/>
      <w:i w:val="0"/>
      <w:iCs w:val="0"/>
      <w:smallCaps w:val="0"/>
      <w:strike w:val="0"/>
      <w:color w:val="000000"/>
      <w:spacing w:val="0"/>
      <w:w w:val="100"/>
      <w:position w:val="0"/>
      <w:sz w:val="20"/>
      <w:szCs w:val="20"/>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sz w:val="22"/>
      <w:szCs w:val="22"/>
      <w:u w:val="none"/>
    </w:rPr>
  </w:style>
  <w:style w:type="paragraph" w:customStyle="1" w:styleId="Ttulo120">
    <w:name w:val="Título #1 (2)"/>
    <w:basedOn w:val="Normal"/>
    <w:link w:val="Ttulo12"/>
    <w:pPr>
      <w:shd w:val="clear" w:color="auto" w:fill="FFFFFF"/>
      <w:spacing w:after="600" w:line="341" w:lineRule="exact"/>
      <w:jc w:val="center"/>
      <w:outlineLvl w:val="0"/>
    </w:pPr>
    <w:rPr>
      <w:rFonts w:ascii="Bookman Old Style" w:eastAsia="Bookman Old Style" w:hAnsi="Bookman Old Style" w:cs="Bookman Old Style"/>
      <w:i/>
      <w:iCs/>
      <w:sz w:val="22"/>
      <w:szCs w:val="22"/>
    </w:rPr>
  </w:style>
  <w:style w:type="paragraph" w:customStyle="1" w:styleId="Cuerpodeltexto30">
    <w:name w:val="Cuerpo del texto (3)"/>
    <w:basedOn w:val="Normal"/>
    <w:link w:val="Cuerpodeltexto3"/>
    <w:pPr>
      <w:shd w:val="clear" w:color="auto" w:fill="FFFFFF"/>
      <w:spacing w:after="960" w:line="250" w:lineRule="exact"/>
      <w:jc w:val="center"/>
    </w:pPr>
    <w:rPr>
      <w:rFonts w:ascii="Arial" w:eastAsia="Arial" w:hAnsi="Arial" w:cs="Arial"/>
      <w:i/>
      <w:iCs/>
      <w:sz w:val="22"/>
      <w:szCs w:val="22"/>
    </w:rPr>
  </w:style>
  <w:style w:type="paragraph" w:customStyle="1" w:styleId="Ttulo30">
    <w:name w:val="Título #3"/>
    <w:basedOn w:val="Normal"/>
    <w:link w:val="Ttulo3"/>
    <w:pPr>
      <w:shd w:val="clear" w:color="auto" w:fill="FFFFFF"/>
      <w:spacing w:before="960" w:after="180" w:line="254" w:lineRule="exact"/>
      <w:jc w:val="center"/>
      <w:outlineLvl w:val="2"/>
    </w:pPr>
    <w:rPr>
      <w:rFonts w:ascii="Arial" w:eastAsia="Arial" w:hAnsi="Arial" w:cs="Arial"/>
      <w:b/>
      <w:bCs/>
      <w:sz w:val="22"/>
      <w:szCs w:val="22"/>
    </w:rPr>
  </w:style>
  <w:style w:type="paragraph" w:customStyle="1" w:styleId="Cuerpodeltexto20">
    <w:name w:val="Cuerpo del texto (2)"/>
    <w:basedOn w:val="Normal"/>
    <w:link w:val="Cuerpodeltexto2"/>
    <w:pPr>
      <w:shd w:val="clear" w:color="auto" w:fill="FFFFFF"/>
      <w:spacing w:before="180" w:line="0" w:lineRule="atLeast"/>
    </w:pPr>
    <w:rPr>
      <w:rFonts w:ascii="Arial" w:eastAsia="Arial" w:hAnsi="Arial" w:cs="Arial"/>
      <w:sz w:val="22"/>
      <w:szCs w:val="22"/>
    </w:rPr>
  </w:style>
  <w:style w:type="paragraph" w:customStyle="1" w:styleId="Cuerpodeltexto80">
    <w:name w:val="Cuerpo del texto (8)"/>
    <w:basedOn w:val="Normal"/>
    <w:link w:val="Cuerpodeltexto8"/>
    <w:pPr>
      <w:shd w:val="clear" w:color="auto" w:fill="FFFFFF"/>
      <w:spacing w:before="420" w:line="0" w:lineRule="atLeast"/>
      <w:jc w:val="both"/>
    </w:pPr>
    <w:rPr>
      <w:rFonts w:ascii="Segoe UI" w:eastAsia="Segoe UI" w:hAnsi="Segoe UI" w:cs="Segoe UI"/>
      <w:sz w:val="26"/>
      <w:szCs w:val="26"/>
    </w:rPr>
  </w:style>
  <w:style w:type="paragraph" w:customStyle="1" w:styleId="Cuerpodeltexto60">
    <w:name w:val="Cuerpo del texto (6)"/>
    <w:basedOn w:val="Normal"/>
    <w:link w:val="Cuerpodeltexto6"/>
    <w:pPr>
      <w:shd w:val="clear" w:color="auto" w:fill="FFFFFF"/>
      <w:spacing w:before="420" w:line="259" w:lineRule="exact"/>
      <w:jc w:val="both"/>
    </w:pPr>
    <w:rPr>
      <w:rFonts w:ascii="Segoe UI" w:eastAsia="Segoe UI" w:hAnsi="Segoe UI" w:cs="Segoe UI"/>
      <w:sz w:val="20"/>
      <w:szCs w:val="20"/>
    </w:rPr>
  </w:style>
  <w:style w:type="paragraph" w:customStyle="1" w:styleId="Ttulo20">
    <w:name w:val="Título #2"/>
    <w:basedOn w:val="Normal"/>
    <w:link w:val="Ttulo2"/>
    <w:pPr>
      <w:shd w:val="clear" w:color="auto" w:fill="FFFFFF"/>
      <w:spacing w:after="120" w:line="154" w:lineRule="exact"/>
      <w:jc w:val="both"/>
      <w:outlineLvl w:val="1"/>
    </w:pPr>
    <w:rPr>
      <w:rFonts w:ascii="Segoe UI" w:eastAsia="Segoe UI" w:hAnsi="Segoe UI" w:cs="Segoe UI"/>
      <w:sz w:val="26"/>
      <w:szCs w:val="26"/>
    </w:rPr>
  </w:style>
  <w:style w:type="paragraph" w:customStyle="1" w:styleId="Cuerpodeltexto40">
    <w:name w:val="Cuerpo del texto (4)"/>
    <w:basedOn w:val="Normal"/>
    <w:link w:val="Cuerpodeltexto4"/>
    <w:pPr>
      <w:shd w:val="clear" w:color="auto" w:fill="FFFFFF"/>
      <w:spacing w:before="360" w:line="0" w:lineRule="atLeast"/>
      <w:jc w:val="both"/>
    </w:pPr>
    <w:rPr>
      <w:rFonts w:ascii="Arial" w:eastAsia="Arial" w:hAnsi="Arial" w:cs="Arial"/>
      <w:b/>
      <w:bCs/>
      <w:sz w:val="22"/>
      <w:szCs w:val="22"/>
    </w:rPr>
  </w:style>
  <w:style w:type="paragraph" w:styleId="Sinespaciado">
    <w:name w:val="No Spacing"/>
    <w:uiPriority w:val="1"/>
    <w:qFormat/>
    <w:rsid w:val="00A933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3965</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RESOLUCIÓN MODIFICA EXOGENA 2021.docx</dc:title>
  <dc:subject/>
  <dc:creator>Microsoft Office User</dc:creator>
  <cp:keywords/>
  <cp:lastModifiedBy>Microsoft Office User</cp:lastModifiedBy>
  <cp:revision>2</cp:revision>
  <dcterms:created xsi:type="dcterms:W3CDTF">2021-07-06T21:45:00Z</dcterms:created>
  <dcterms:modified xsi:type="dcterms:W3CDTF">2021-07-06T21:45:00Z</dcterms:modified>
</cp:coreProperties>
</file>