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232C0" w14:textId="08EABCA1" w:rsidR="00596B91" w:rsidRPr="008615B1" w:rsidRDefault="008615B1" w:rsidP="008615B1">
      <w:pPr>
        <w:pStyle w:val="Sinespaciado"/>
        <w:jc w:val="both"/>
        <w:rPr>
          <w:rFonts w:ascii="Verdana" w:hAnsi="Verdana"/>
          <w:b/>
          <w:bCs/>
        </w:rPr>
      </w:pPr>
      <w:bookmarkStart w:id="0" w:name="_GoBack"/>
      <w:bookmarkEnd w:id="0"/>
      <w:r w:rsidRPr="008615B1">
        <w:rPr>
          <w:rFonts w:ascii="Verdana" w:hAnsi="Verdana"/>
          <w:b/>
          <w:bCs/>
        </w:rPr>
        <w:t>CONCEPTO 674 DEL 6 DE MAYO DE 2021</w:t>
      </w:r>
    </w:p>
    <w:p w14:paraId="305330AD" w14:textId="105CB7DC" w:rsidR="008615B1" w:rsidRPr="008615B1" w:rsidRDefault="008615B1" w:rsidP="008615B1">
      <w:pPr>
        <w:pStyle w:val="Sinespaciado"/>
        <w:jc w:val="both"/>
        <w:rPr>
          <w:rFonts w:ascii="Verdana" w:hAnsi="Verdana"/>
          <w:b/>
          <w:bCs/>
        </w:rPr>
      </w:pPr>
      <w:r w:rsidRPr="008615B1">
        <w:rPr>
          <w:rFonts w:ascii="Verdana" w:hAnsi="Verdana"/>
          <w:b/>
          <w:bCs/>
        </w:rPr>
        <w:t>DIRECCIÓN DE IMPUESTOS Y ADUANAS NACIONALES</w:t>
      </w:r>
    </w:p>
    <w:p w14:paraId="4CD1BFB3" w14:textId="77777777" w:rsidR="00596B91" w:rsidRPr="008615B1" w:rsidRDefault="00596B91" w:rsidP="008615B1">
      <w:pPr>
        <w:pStyle w:val="Sinespaciado"/>
        <w:jc w:val="both"/>
        <w:rPr>
          <w:rFonts w:ascii="Verdana" w:hAnsi="Verdana"/>
        </w:rPr>
      </w:pPr>
    </w:p>
    <w:p w14:paraId="25B4089A" w14:textId="4F0857B3" w:rsidR="00596B91" w:rsidRPr="008615B1" w:rsidRDefault="008615B1" w:rsidP="008615B1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>Bogotá, D.C.</w:t>
      </w:r>
    </w:p>
    <w:p w14:paraId="06BAB5DE" w14:textId="77777777" w:rsidR="00596B91" w:rsidRPr="008615B1" w:rsidRDefault="00596B91" w:rsidP="008615B1">
      <w:pPr>
        <w:pStyle w:val="Sinespaciado"/>
        <w:jc w:val="both"/>
        <w:rPr>
          <w:rFonts w:ascii="Verdana" w:hAnsi="Verdana"/>
        </w:rPr>
      </w:pPr>
    </w:p>
    <w:p w14:paraId="433F9D0F" w14:textId="5CEAE145" w:rsidR="00596B91" w:rsidRPr="008615B1" w:rsidRDefault="008615B1" w:rsidP="008615B1">
      <w:pPr>
        <w:pStyle w:val="Sinespaciado"/>
        <w:jc w:val="both"/>
        <w:rPr>
          <w:rFonts w:ascii="Verdana" w:hAnsi="Verdana"/>
        </w:rPr>
      </w:pPr>
      <w:r w:rsidRPr="008615B1">
        <w:rPr>
          <w:rFonts w:ascii="Verdana" w:hAnsi="Verdana"/>
          <w:b/>
          <w:bCs/>
        </w:rPr>
        <w:t>Tema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 w:rsidRPr="008615B1">
        <w:rPr>
          <w:rFonts w:ascii="Verdana" w:hAnsi="Verdana"/>
        </w:rPr>
        <w:t>Procedimiento</w:t>
      </w:r>
    </w:p>
    <w:p w14:paraId="7A7918B2" w14:textId="7EAEBACB" w:rsidR="00596B91" w:rsidRPr="008615B1" w:rsidRDefault="008615B1" w:rsidP="008615B1">
      <w:pPr>
        <w:pStyle w:val="Sinespaciado"/>
        <w:jc w:val="both"/>
        <w:rPr>
          <w:rFonts w:ascii="Verdana" w:hAnsi="Verdana"/>
        </w:rPr>
      </w:pPr>
      <w:r w:rsidRPr="008615B1">
        <w:rPr>
          <w:rFonts w:ascii="Verdana" w:hAnsi="Verdana"/>
          <w:b/>
          <w:bCs/>
        </w:rPr>
        <w:t>Descriptores: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 w:rsidRPr="008615B1">
        <w:rPr>
          <w:rFonts w:ascii="Verdana" w:hAnsi="Verdana"/>
        </w:rPr>
        <w:t>Valor probatorio información exógena</w:t>
      </w:r>
    </w:p>
    <w:p w14:paraId="5142291F" w14:textId="1CC3ECB7" w:rsidR="00596B91" w:rsidRPr="008615B1" w:rsidRDefault="008615B1" w:rsidP="008615B1">
      <w:pPr>
        <w:pStyle w:val="Sinespaciado"/>
        <w:ind w:left="2832" w:hanging="2832"/>
        <w:jc w:val="both"/>
        <w:rPr>
          <w:rFonts w:ascii="Verdana" w:hAnsi="Verdana"/>
        </w:rPr>
      </w:pPr>
      <w:r w:rsidRPr="008615B1">
        <w:rPr>
          <w:rFonts w:ascii="Verdana" w:hAnsi="Verdana"/>
          <w:b/>
          <w:bCs/>
        </w:rPr>
        <w:t>Fuentes formales</w:t>
      </w:r>
      <w:r>
        <w:rPr>
          <w:rFonts w:ascii="Verdana" w:hAnsi="Verdana"/>
          <w:b/>
          <w:bCs/>
        </w:rPr>
        <w:tab/>
      </w:r>
      <w:r w:rsidRPr="008615B1">
        <w:rPr>
          <w:rFonts w:ascii="Verdana" w:hAnsi="Verdana"/>
        </w:rPr>
        <w:t>Estatuto Tributario, artículos 631,742 y 750; Ley 1564 de 2012,</w:t>
      </w:r>
      <w:r>
        <w:rPr>
          <w:rFonts w:ascii="Verdana" w:hAnsi="Verdana"/>
        </w:rPr>
        <w:t xml:space="preserve"> </w:t>
      </w:r>
      <w:r w:rsidRPr="008615B1">
        <w:rPr>
          <w:rFonts w:ascii="Verdana" w:hAnsi="Verdana"/>
        </w:rPr>
        <w:t>artículos 165 y 176</w:t>
      </w:r>
    </w:p>
    <w:p w14:paraId="3CED91FC" w14:textId="77777777" w:rsidR="008615B1" w:rsidRDefault="008615B1" w:rsidP="008615B1">
      <w:pPr>
        <w:pStyle w:val="Sinespaciado"/>
        <w:jc w:val="both"/>
        <w:rPr>
          <w:rFonts w:ascii="Verdana" w:hAnsi="Verdana"/>
        </w:rPr>
      </w:pPr>
    </w:p>
    <w:p w14:paraId="72305CD4" w14:textId="235CDF41" w:rsidR="00596B91" w:rsidRPr="008615B1" w:rsidRDefault="008615B1" w:rsidP="008615B1">
      <w:pPr>
        <w:pStyle w:val="Sinespaciado"/>
        <w:jc w:val="both"/>
        <w:rPr>
          <w:rFonts w:ascii="Verdana" w:hAnsi="Verdana"/>
        </w:rPr>
      </w:pPr>
      <w:r w:rsidRPr="008615B1">
        <w:rPr>
          <w:rFonts w:ascii="Verdana" w:hAnsi="Verdana"/>
        </w:rPr>
        <w:t>Cordial saludo.</w:t>
      </w:r>
    </w:p>
    <w:p w14:paraId="6AE1B84E" w14:textId="77777777" w:rsidR="008615B1" w:rsidRDefault="008615B1" w:rsidP="008615B1">
      <w:pPr>
        <w:pStyle w:val="Sinespaciado"/>
        <w:jc w:val="both"/>
        <w:rPr>
          <w:rFonts w:ascii="Verdana" w:hAnsi="Verdana"/>
        </w:rPr>
      </w:pPr>
    </w:p>
    <w:p w14:paraId="446637A9" w14:textId="706878F4" w:rsidR="00596B91" w:rsidRPr="008615B1" w:rsidRDefault="008615B1" w:rsidP="008615B1">
      <w:pPr>
        <w:pStyle w:val="Sinespaciado"/>
        <w:jc w:val="both"/>
        <w:rPr>
          <w:rFonts w:ascii="Verdana" w:hAnsi="Verdana"/>
        </w:rPr>
      </w:pPr>
      <w:r w:rsidRPr="008615B1">
        <w:rPr>
          <w:rFonts w:ascii="Verdana" w:hAnsi="Verdana"/>
        </w:rPr>
        <w:t>De conformidad con el artículo 20 del Decreto 4048 de 2008, este Despacho está facultado para absolver las consultas escritas que se formulen sobre la interpretación y aplicación de las normas tributarias, aduaneras y cambiarias, en el marco de las competencias</w:t>
      </w:r>
      <w:r>
        <w:rPr>
          <w:rFonts w:ascii="Verdana" w:hAnsi="Verdana"/>
        </w:rPr>
        <w:t xml:space="preserve"> </w:t>
      </w:r>
      <w:r w:rsidRPr="008615B1">
        <w:rPr>
          <w:rFonts w:ascii="Verdana" w:hAnsi="Verdana"/>
        </w:rPr>
        <w:t>de la Dirección de Impuestos y Aduanas Nacionales. Por consiguiente, no corresponde a este Despacho, en ejercicio de las funciones descritas anteriormente, prestar asesoría específica para atender casos particulares, ni juzgar o calificar las decisiones tomadas por otras dependencias o entidades.</w:t>
      </w:r>
    </w:p>
    <w:p w14:paraId="3E3325FF" w14:textId="77777777" w:rsidR="008615B1" w:rsidRDefault="008615B1" w:rsidP="008615B1">
      <w:pPr>
        <w:pStyle w:val="Sinespaciado"/>
        <w:jc w:val="both"/>
        <w:rPr>
          <w:rFonts w:ascii="Verdana" w:hAnsi="Verdana"/>
        </w:rPr>
      </w:pPr>
    </w:p>
    <w:p w14:paraId="207237F9" w14:textId="5AC7B5B6" w:rsidR="00596B91" w:rsidRPr="008615B1" w:rsidRDefault="008615B1" w:rsidP="008615B1">
      <w:pPr>
        <w:pStyle w:val="Sinespaciado"/>
        <w:jc w:val="both"/>
        <w:rPr>
          <w:rFonts w:ascii="Verdana" w:hAnsi="Verdana"/>
        </w:rPr>
      </w:pPr>
      <w:r w:rsidRPr="008615B1">
        <w:rPr>
          <w:rFonts w:ascii="Verdana" w:hAnsi="Verdana"/>
        </w:rPr>
        <w:t xml:space="preserve">Se solicita concepto en relación con el valor probatorio de la </w:t>
      </w:r>
      <w:r>
        <w:rPr>
          <w:rFonts w:ascii="Verdana" w:hAnsi="Verdana"/>
        </w:rPr>
        <w:t xml:space="preserve">información (sic) </w:t>
      </w:r>
      <w:r w:rsidRPr="008615B1">
        <w:rPr>
          <w:rFonts w:ascii="Verdana" w:hAnsi="Verdana"/>
        </w:rPr>
        <w:t>exógena y si ésta representa la realidad económica de los informados. Lo anterior con fines de controvertir esa información como prueba en estrados judiciales.</w:t>
      </w:r>
    </w:p>
    <w:p w14:paraId="341CB704" w14:textId="77777777" w:rsidR="008615B1" w:rsidRDefault="008615B1" w:rsidP="008615B1">
      <w:pPr>
        <w:pStyle w:val="Sinespaciado"/>
        <w:jc w:val="both"/>
        <w:rPr>
          <w:rFonts w:ascii="Verdana" w:hAnsi="Verdana"/>
        </w:rPr>
      </w:pPr>
    </w:p>
    <w:p w14:paraId="58D9FC4F" w14:textId="3A92FDBB" w:rsidR="00596B91" w:rsidRPr="008615B1" w:rsidRDefault="008615B1" w:rsidP="008615B1">
      <w:pPr>
        <w:pStyle w:val="Sinespaciado"/>
        <w:jc w:val="both"/>
        <w:rPr>
          <w:rFonts w:ascii="Verdana" w:hAnsi="Verdana"/>
        </w:rPr>
      </w:pPr>
      <w:r w:rsidRPr="008615B1">
        <w:rPr>
          <w:rFonts w:ascii="Verdana" w:hAnsi="Verdana"/>
        </w:rPr>
        <w:t xml:space="preserve">Considerando la consulta que se formula, se reitera que la función de este Despacho se limita a la interpretación general, entre otras, de normas de carácter tributario, </w:t>
      </w:r>
      <w:r w:rsidRPr="008615B1">
        <w:rPr>
          <w:rStyle w:val="Cuerpodeltexto211"/>
          <w:rFonts w:ascii="Verdana" w:hAnsi="Verdana"/>
          <w:sz w:val="24"/>
          <w:szCs w:val="24"/>
        </w:rPr>
        <w:t>sin que le corresponda analizar situaciones o casos particulares y concretos y/o definir aspectos relacionados con las funciones y/o facultades de la DIAN con fines judiciales</w:t>
      </w:r>
      <w:r w:rsidRPr="008615B1">
        <w:rPr>
          <w:rStyle w:val="Cuerpodeltexto211"/>
          <w:rFonts w:ascii="Verdana" w:hAnsi="Verdana"/>
          <w:sz w:val="24"/>
          <w:szCs w:val="24"/>
          <w:u w:val="none"/>
        </w:rPr>
        <w:t>.</w:t>
      </w:r>
    </w:p>
    <w:p w14:paraId="13325640" w14:textId="77777777" w:rsidR="008615B1" w:rsidRDefault="008615B1" w:rsidP="008615B1">
      <w:pPr>
        <w:pStyle w:val="Sinespaciado"/>
        <w:jc w:val="both"/>
        <w:rPr>
          <w:rFonts w:ascii="Verdana" w:hAnsi="Verdana"/>
        </w:rPr>
      </w:pPr>
    </w:p>
    <w:p w14:paraId="3DB14D06" w14:textId="4CA5E440" w:rsidR="00596B91" w:rsidRPr="008615B1" w:rsidRDefault="008615B1" w:rsidP="008615B1">
      <w:pPr>
        <w:pStyle w:val="Sinespaciado"/>
        <w:jc w:val="both"/>
        <w:rPr>
          <w:rFonts w:ascii="Verdana" w:hAnsi="Verdana"/>
        </w:rPr>
      </w:pPr>
      <w:r w:rsidRPr="008615B1">
        <w:rPr>
          <w:rFonts w:ascii="Verdana" w:hAnsi="Verdana"/>
        </w:rPr>
        <w:t>De acuerdo con las disposiciones en materia tributaria y considerando la pregunta en torno al valor probatorio de la información exógena, este Despacho considera lo siguiente:</w:t>
      </w:r>
    </w:p>
    <w:p w14:paraId="29747FE5" w14:textId="77777777" w:rsidR="008615B1" w:rsidRDefault="008615B1" w:rsidP="008615B1">
      <w:pPr>
        <w:pStyle w:val="Sinespaciado"/>
        <w:jc w:val="both"/>
        <w:rPr>
          <w:rFonts w:ascii="Verdana" w:hAnsi="Verdana"/>
        </w:rPr>
      </w:pPr>
    </w:p>
    <w:p w14:paraId="55E4AF5A" w14:textId="040C2F99" w:rsidR="00596B91" w:rsidRPr="008615B1" w:rsidRDefault="008615B1" w:rsidP="008615B1">
      <w:pPr>
        <w:pStyle w:val="Sinespaciado"/>
        <w:jc w:val="both"/>
        <w:rPr>
          <w:rFonts w:ascii="Verdana" w:hAnsi="Verdana"/>
        </w:rPr>
      </w:pPr>
      <w:r w:rsidRPr="008615B1">
        <w:rPr>
          <w:rFonts w:ascii="Verdana" w:hAnsi="Verdana"/>
        </w:rPr>
        <w:t>Sin perjuicio de las amplias facultades de fiscalización que otorga a la DIAN el artículo 684 del Estatuto Tributario, el Director de la Entidad está facultado para solicitar información, información que puede provenir del mismo contribuyente y dar cuenta de aspectos relacionados consigo mismo, o información que emana de terceros sean o no cotribuyentes</w:t>
      </w:r>
      <w:r>
        <w:rPr>
          <w:rFonts w:ascii="Verdana" w:hAnsi="Verdana"/>
        </w:rPr>
        <w:t xml:space="preserve"> (sic)</w:t>
      </w:r>
      <w:r w:rsidRPr="008615B1">
        <w:rPr>
          <w:rFonts w:ascii="Verdana" w:hAnsi="Verdana"/>
        </w:rPr>
        <w:t xml:space="preserve">, es el caso, por ejemplo, de la información a que se </w:t>
      </w:r>
      <w:r w:rsidRPr="008615B1">
        <w:rPr>
          <w:rFonts w:ascii="Verdana" w:hAnsi="Verdana"/>
        </w:rPr>
        <w:lastRenderedPageBreak/>
        <w:t>refiere el artículo 631 del E.T. al disponer que:</w:t>
      </w:r>
    </w:p>
    <w:p w14:paraId="7B6D14AC" w14:textId="77777777" w:rsidR="008615B1" w:rsidRDefault="008615B1" w:rsidP="008615B1">
      <w:pPr>
        <w:pStyle w:val="Sinespaciado"/>
        <w:jc w:val="both"/>
        <w:rPr>
          <w:rStyle w:val="Cuerpodeltexto71"/>
          <w:rFonts w:ascii="Verdana" w:hAnsi="Verdana"/>
          <w:sz w:val="24"/>
          <w:szCs w:val="24"/>
        </w:rPr>
      </w:pPr>
    </w:p>
    <w:p w14:paraId="45DB568A" w14:textId="0666BACD" w:rsidR="00596B91" w:rsidRPr="008615B1" w:rsidRDefault="008615B1" w:rsidP="008615B1">
      <w:pPr>
        <w:pStyle w:val="Sinespaciado"/>
        <w:ind w:left="708"/>
        <w:jc w:val="both"/>
        <w:rPr>
          <w:rFonts w:ascii="Verdana" w:hAnsi="Verdana"/>
        </w:rPr>
      </w:pPr>
      <w:r w:rsidRPr="008615B1">
        <w:rPr>
          <w:rStyle w:val="Cuerpodeltexto71"/>
          <w:rFonts w:ascii="Verdana" w:hAnsi="Verdana"/>
          <w:sz w:val="24"/>
          <w:szCs w:val="24"/>
          <w:u w:val="none"/>
        </w:rPr>
        <w:t>“</w:t>
      </w:r>
      <w:r w:rsidRPr="008615B1">
        <w:rPr>
          <w:rStyle w:val="Cuerpodeltexto71"/>
          <w:rFonts w:ascii="Verdana" w:hAnsi="Verdana"/>
          <w:sz w:val="24"/>
          <w:szCs w:val="24"/>
        </w:rPr>
        <w:t>Sin perjuicio de lo dispuesto en el artículo 684 y demás normas que regulan las facultades de la Administración de Impuestos, el Director de Impuestos Nacionales podrá solicitar a las</w:t>
      </w:r>
      <w:r>
        <w:rPr>
          <w:rStyle w:val="Cuerpodeltexto71"/>
          <w:rFonts w:ascii="Verdana" w:hAnsi="Verdana"/>
          <w:sz w:val="24"/>
          <w:szCs w:val="24"/>
        </w:rPr>
        <w:t xml:space="preserve"> </w:t>
      </w:r>
      <w:r w:rsidRPr="008615B1">
        <w:rPr>
          <w:rStyle w:val="Cuerpodeltexto9Sinnegrita"/>
          <w:rFonts w:ascii="Verdana" w:hAnsi="Verdana"/>
          <w:b w:val="0"/>
          <w:bCs w:val="0"/>
          <w:sz w:val="24"/>
          <w:szCs w:val="24"/>
        </w:rPr>
        <w:t>personas o entidades, contribuyentes y no contribuyentes, una o var</w:t>
      </w:r>
      <w:r>
        <w:rPr>
          <w:rStyle w:val="Cuerpodeltexto9Sinnegrita"/>
          <w:rFonts w:ascii="Verdana" w:hAnsi="Verdana"/>
          <w:b w:val="0"/>
          <w:bCs w:val="0"/>
          <w:sz w:val="24"/>
          <w:szCs w:val="24"/>
        </w:rPr>
        <w:t>i</w:t>
      </w:r>
      <w:r w:rsidRPr="008615B1">
        <w:rPr>
          <w:rStyle w:val="Cuerpodeltexto9Sinnegrita"/>
          <w:rFonts w:ascii="Verdana" w:hAnsi="Verdana"/>
          <w:b w:val="0"/>
          <w:bCs w:val="0"/>
          <w:sz w:val="24"/>
          <w:szCs w:val="24"/>
        </w:rPr>
        <w:t>as de las siguientes informaciones</w:t>
      </w:r>
      <w:r w:rsidRPr="008615B1">
        <w:rPr>
          <w:rStyle w:val="Cuerpodeltexto9Sinnegrita"/>
          <w:rFonts w:ascii="Verdana" w:hAnsi="Verdana"/>
          <w:b w:val="0"/>
          <w:bCs w:val="0"/>
          <w:sz w:val="24"/>
          <w:szCs w:val="24"/>
          <w:u w:val="none"/>
        </w:rPr>
        <w:t>,</w:t>
      </w:r>
      <w:r w:rsidRPr="008615B1">
        <w:rPr>
          <w:rStyle w:val="Cuerpodeltexto9Sinnegrita0"/>
          <w:rFonts w:ascii="Verdana" w:hAnsi="Verdana"/>
          <w:b w:val="0"/>
          <w:bCs w:val="0"/>
          <w:sz w:val="24"/>
          <w:szCs w:val="24"/>
        </w:rPr>
        <w:t xml:space="preserve"> </w:t>
      </w:r>
      <w:r w:rsidRPr="008615B1">
        <w:rPr>
          <w:rFonts w:ascii="Verdana" w:hAnsi="Verdana"/>
          <w:b/>
          <w:bCs/>
          <w:i/>
          <w:iCs/>
        </w:rPr>
        <w:t>con el fin de efectuar los estudios y cruces de información necesarios para el debido control de los tributos</w:t>
      </w:r>
      <w:r w:rsidRPr="008615B1">
        <w:rPr>
          <w:rStyle w:val="Cuerpodeltexto9Sinnegrita0"/>
          <w:rFonts w:ascii="Verdana" w:hAnsi="Verdana"/>
          <w:b w:val="0"/>
          <w:bCs w:val="0"/>
          <w:sz w:val="24"/>
          <w:szCs w:val="24"/>
        </w:rPr>
        <w:t xml:space="preserve">, </w:t>
      </w:r>
      <w:r w:rsidRPr="008615B1">
        <w:rPr>
          <w:rStyle w:val="Cuerpodeltexto91"/>
          <w:rFonts w:ascii="Verdana" w:hAnsi="Verdana"/>
          <w:sz w:val="24"/>
          <w:szCs w:val="24"/>
        </w:rPr>
        <w:t>así como de cumplir con otras funciones de su competencia, incluidas las relacionadas con el cumplimiento de las obligaciones</w:t>
      </w:r>
      <w:r w:rsidRPr="008615B1">
        <w:rPr>
          <w:rFonts w:ascii="Verdana" w:hAnsi="Verdana"/>
        </w:rPr>
        <w:t xml:space="preserve"> </w:t>
      </w:r>
      <w:r w:rsidRPr="008615B1">
        <w:rPr>
          <w:rStyle w:val="Cuerpodeltexto9Sinnegrita0"/>
          <w:rFonts w:ascii="Verdana" w:hAnsi="Verdana"/>
          <w:b w:val="0"/>
          <w:bCs w:val="0"/>
          <w:sz w:val="24"/>
          <w:szCs w:val="24"/>
        </w:rPr>
        <w:t>y</w:t>
      </w:r>
      <w:r>
        <w:rPr>
          <w:rStyle w:val="Cuerpodeltexto9Sinnegrita0"/>
          <w:rFonts w:ascii="Verdana" w:hAnsi="Verdana"/>
          <w:b w:val="0"/>
          <w:bCs w:val="0"/>
          <w:sz w:val="24"/>
          <w:szCs w:val="24"/>
        </w:rPr>
        <w:t xml:space="preserve"> </w:t>
      </w:r>
      <w:r w:rsidRPr="008615B1">
        <w:rPr>
          <w:rFonts w:ascii="Verdana" w:hAnsi="Verdana"/>
          <w:i/>
          <w:iCs/>
        </w:rPr>
        <w:t xml:space="preserve">compromisos consagrados en las convenciones y tratados tributarios suscritos por Colombia: (...).” </w:t>
      </w:r>
      <w:r w:rsidRPr="008615B1">
        <w:rPr>
          <w:rFonts w:ascii="Verdana" w:hAnsi="Verdana"/>
        </w:rPr>
        <w:t xml:space="preserve">(Subrayado y reslatado </w:t>
      </w:r>
      <w:r>
        <w:rPr>
          <w:rFonts w:ascii="Verdana" w:hAnsi="Verdana"/>
        </w:rPr>
        <w:t xml:space="preserve">(sic) </w:t>
      </w:r>
      <w:r w:rsidRPr="008615B1">
        <w:rPr>
          <w:rFonts w:ascii="Verdana" w:hAnsi="Verdana"/>
        </w:rPr>
        <w:t xml:space="preserve">feura </w:t>
      </w:r>
      <w:r>
        <w:rPr>
          <w:rFonts w:ascii="Verdana" w:hAnsi="Verdana"/>
        </w:rPr>
        <w:t xml:space="preserve">(sic) </w:t>
      </w:r>
      <w:r w:rsidRPr="008615B1">
        <w:rPr>
          <w:rFonts w:ascii="Verdana" w:hAnsi="Verdana"/>
        </w:rPr>
        <w:t>de texto)</w:t>
      </w:r>
    </w:p>
    <w:p w14:paraId="114E93E2" w14:textId="77777777" w:rsidR="008615B1" w:rsidRDefault="008615B1" w:rsidP="008615B1">
      <w:pPr>
        <w:pStyle w:val="Sinespaciado"/>
        <w:jc w:val="both"/>
        <w:rPr>
          <w:rFonts w:ascii="Verdana" w:hAnsi="Verdana"/>
        </w:rPr>
      </w:pPr>
    </w:p>
    <w:p w14:paraId="0A93D82F" w14:textId="70F02930" w:rsidR="00596B91" w:rsidRPr="008615B1" w:rsidRDefault="008615B1" w:rsidP="008615B1">
      <w:pPr>
        <w:pStyle w:val="Sinespaciado"/>
        <w:jc w:val="both"/>
        <w:rPr>
          <w:rFonts w:ascii="Verdana" w:hAnsi="Verdana"/>
        </w:rPr>
      </w:pPr>
      <w:r w:rsidRPr="008615B1">
        <w:rPr>
          <w:rFonts w:ascii="Verdana" w:hAnsi="Verdana"/>
        </w:rPr>
        <w:t>Igual, acorde con el artículo 631-2 ibíem</w:t>
      </w:r>
      <w:r>
        <w:rPr>
          <w:rFonts w:ascii="Verdana" w:hAnsi="Verdana"/>
        </w:rPr>
        <w:t xml:space="preserve"> (sic)</w:t>
      </w:r>
      <w:r w:rsidRPr="008615B1">
        <w:rPr>
          <w:rFonts w:ascii="Verdana" w:hAnsi="Verdana"/>
        </w:rPr>
        <w:t>, es facultad del Director General fijar las condiciones, plazos y obligados a suministrar la información a que se refieren los artículos: 623, 623-2, 628, 629, 629-1 y 631 del Estatuto Tributario. En forma similar ocurre con la información de que trata el artículo 631-3 del mismo ordenamiento jurídico.</w:t>
      </w:r>
    </w:p>
    <w:p w14:paraId="7F210B27" w14:textId="77777777" w:rsidR="008615B1" w:rsidRDefault="008615B1" w:rsidP="008615B1">
      <w:pPr>
        <w:pStyle w:val="Sinespaciado"/>
        <w:jc w:val="both"/>
        <w:rPr>
          <w:rFonts w:ascii="Verdana" w:hAnsi="Verdana"/>
        </w:rPr>
      </w:pPr>
    </w:p>
    <w:p w14:paraId="64D933B3" w14:textId="3254F398" w:rsidR="00596B91" w:rsidRPr="008615B1" w:rsidRDefault="008615B1" w:rsidP="008615B1">
      <w:pPr>
        <w:pStyle w:val="Sinespaciado"/>
        <w:jc w:val="both"/>
        <w:rPr>
          <w:rFonts w:ascii="Verdana" w:hAnsi="Verdana"/>
        </w:rPr>
      </w:pPr>
      <w:r w:rsidRPr="008615B1">
        <w:rPr>
          <w:rFonts w:ascii="Verdana" w:hAnsi="Verdana"/>
        </w:rPr>
        <w:t xml:space="preserve">Lo anterior permite concluir que, entre otra, la información solicitada de terceros constituye insumo para la Entidad en sus ditintos </w:t>
      </w:r>
      <w:r>
        <w:rPr>
          <w:rFonts w:ascii="Verdana" w:hAnsi="Verdana"/>
        </w:rPr>
        <w:t xml:space="preserve">(sic) </w:t>
      </w:r>
      <w:r w:rsidRPr="008615B1">
        <w:rPr>
          <w:rFonts w:ascii="Verdana" w:hAnsi="Verdana"/>
        </w:rPr>
        <w:t xml:space="preserve">procesos, siendo amplio el margen de acción de la </w:t>
      </w:r>
      <w:r>
        <w:rPr>
          <w:rFonts w:ascii="Verdana" w:hAnsi="Verdana"/>
        </w:rPr>
        <w:t xml:space="preserve">DIAN </w:t>
      </w:r>
      <w:r w:rsidRPr="008615B1">
        <w:rPr>
          <w:rFonts w:ascii="Verdana" w:hAnsi="Verdana"/>
        </w:rPr>
        <w:t>a partir de la misma, razón por la cual puede utilizarla con distintos fines. Si la considera, por ejemplo, en investigaciones específicas, es perfectamente válido a la luz de normas como la que se cita. Además, porque en el ámbito tributario existen disposiciones especiales en materia probatoria, entre ellas el artículo 750 ibídem, que dispone:</w:t>
      </w:r>
    </w:p>
    <w:p w14:paraId="48540C64" w14:textId="77777777" w:rsidR="008615B1" w:rsidRDefault="008615B1" w:rsidP="008615B1">
      <w:pPr>
        <w:pStyle w:val="Sinespaciado"/>
        <w:jc w:val="both"/>
        <w:rPr>
          <w:rFonts w:ascii="Verdana" w:hAnsi="Verdana"/>
        </w:rPr>
      </w:pPr>
    </w:p>
    <w:p w14:paraId="7765C2BC" w14:textId="56C12F1F" w:rsidR="00596B91" w:rsidRPr="008615B1" w:rsidRDefault="008615B1" w:rsidP="008615B1">
      <w:pPr>
        <w:pStyle w:val="Sinespaciado"/>
        <w:ind w:left="708"/>
        <w:jc w:val="both"/>
        <w:rPr>
          <w:rFonts w:ascii="Verdana" w:hAnsi="Verdana"/>
        </w:rPr>
      </w:pPr>
      <w:r w:rsidRPr="008615B1">
        <w:rPr>
          <w:rFonts w:ascii="Verdana" w:hAnsi="Verdana"/>
          <w:b/>
          <w:bCs/>
          <w:i/>
          <w:iCs/>
        </w:rPr>
        <w:t>“Art. 750. Las informaciones suministradas por terceros son prueba testimonial.</w:t>
      </w:r>
      <w:r w:rsidRPr="008615B1">
        <w:rPr>
          <w:rFonts w:ascii="Verdana" w:hAnsi="Verdana"/>
          <w:i/>
          <w:iCs/>
        </w:rPr>
        <w:t xml:space="preserve"> </w:t>
      </w:r>
      <w:r w:rsidRPr="008615B1">
        <w:rPr>
          <w:rStyle w:val="Cuerpodeltexto9Sinnegrita"/>
          <w:rFonts w:ascii="Verdana" w:hAnsi="Verdana"/>
          <w:b w:val="0"/>
          <w:bCs w:val="0"/>
          <w:sz w:val="24"/>
          <w:szCs w:val="24"/>
        </w:rPr>
        <w:t>Los</w:t>
      </w:r>
      <w:r>
        <w:rPr>
          <w:rStyle w:val="Cuerpodeltexto9Sinnegrita"/>
          <w:rFonts w:ascii="Verdana" w:hAnsi="Verdana"/>
          <w:b w:val="0"/>
          <w:bCs w:val="0"/>
          <w:sz w:val="24"/>
          <w:szCs w:val="24"/>
        </w:rPr>
        <w:t xml:space="preserve"> </w:t>
      </w:r>
      <w:r w:rsidRPr="008615B1">
        <w:rPr>
          <w:rStyle w:val="Cuerpodeltexto71"/>
          <w:rFonts w:ascii="Verdana" w:hAnsi="Verdana"/>
          <w:sz w:val="24"/>
          <w:szCs w:val="24"/>
        </w:rPr>
        <w:t xml:space="preserve">hechos consignados en las declaraciones tributarias </w:t>
      </w:r>
      <w:r w:rsidRPr="008615B1">
        <w:rPr>
          <w:rStyle w:val="Cuerpodeltexto7Negrita"/>
          <w:rFonts w:ascii="Verdana" w:hAnsi="Verdana"/>
          <w:sz w:val="24"/>
          <w:szCs w:val="24"/>
        </w:rPr>
        <w:t>de te</w:t>
      </w:r>
      <w:r w:rsidRPr="008615B1">
        <w:rPr>
          <w:rStyle w:val="Cuerpodeltexto71"/>
          <w:rFonts w:ascii="Verdana" w:hAnsi="Verdana"/>
          <w:b/>
          <w:bCs/>
          <w:sz w:val="24"/>
          <w:szCs w:val="24"/>
        </w:rPr>
        <w:t>r</w:t>
      </w:r>
      <w:r w:rsidRPr="008615B1">
        <w:rPr>
          <w:rStyle w:val="Cuerpodeltexto7Negrita"/>
          <w:rFonts w:ascii="Verdana" w:hAnsi="Verdana"/>
          <w:sz w:val="24"/>
          <w:szCs w:val="24"/>
        </w:rPr>
        <w:t>ce</w:t>
      </w:r>
      <w:r w:rsidRPr="008615B1">
        <w:rPr>
          <w:rStyle w:val="Cuerpodeltexto71"/>
          <w:rFonts w:ascii="Verdana" w:hAnsi="Verdana"/>
          <w:b/>
          <w:bCs/>
          <w:sz w:val="24"/>
          <w:szCs w:val="24"/>
        </w:rPr>
        <w:t>r</w:t>
      </w:r>
      <w:r w:rsidRPr="008615B1">
        <w:rPr>
          <w:rStyle w:val="Cuerpodeltexto7Negrita"/>
          <w:rFonts w:ascii="Verdana" w:hAnsi="Verdana"/>
          <w:sz w:val="24"/>
          <w:szCs w:val="24"/>
        </w:rPr>
        <w:t>os</w:t>
      </w:r>
      <w:r w:rsidRPr="008615B1">
        <w:rPr>
          <w:rStyle w:val="Cuerpodeltexto71"/>
          <w:rFonts w:ascii="Verdana" w:hAnsi="Verdana"/>
          <w:sz w:val="24"/>
          <w:szCs w:val="24"/>
        </w:rPr>
        <w:t>, en informaciones</w:t>
      </w:r>
      <w:r w:rsidRPr="008615B1">
        <w:rPr>
          <w:rFonts w:ascii="Verdana" w:hAnsi="Verdana"/>
          <w:i/>
          <w:iCs/>
        </w:rPr>
        <w:t xml:space="preserve"> rendidas bajo juramento ante las oficinas de impuestos, o en escritos dirigidos a éstas, </w:t>
      </w:r>
      <w:r w:rsidRPr="008615B1">
        <w:rPr>
          <w:rStyle w:val="Cuerpodeltexto7Negrita"/>
          <w:rFonts w:ascii="Verdana" w:hAnsi="Verdana"/>
          <w:sz w:val="24"/>
          <w:szCs w:val="24"/>
        </w:rPr>
        <w:t>o en respuestas de éstos a requerimientos administrativos, relacionados con obligaciones tributarias del contribuyente, se tendrán como testimonio</w:t>
      </w:r>
      <w:r w:rsidRPr="008615B1">
        <w:rPr>
          <w:rStyle w:val="Cuerpodeltexto71"/>
          <w:rFonts w:ascii="Verdana" w:hAnsi="Verdana"/>
          <w:sz w:val="24"/>
          <w:szCs w:val="24"/>
        </w:rPr>
        <w:t>,</w:t>
      </w:r>
      <w:r w:rsidRPr="008615B1">
        <w:rPr>
          <w:rFonts w:ascii="Verdana" w:hAnsi="Verdana"/>
          <w:i/>
          <w:iCs/>
        </w:rPr>
        <w:t xml:space="preserve"> sujeto a los principios de publicidad y contradicción de la prueba”. (Subrayado y resaltado fuera de texto)</w:t>
      </w:r>
    </w:p>
    <w:p w14:paraId="58AF3538" w14:textId="77777777" w:rsidR="008615B1" w:rsidRDefault="008615B1" w:rsidP="008615B1">
      <w:pPr>
        <w:pStyle w:val="Sinespaciado"/>
        <w:jc w:val="both"/>
        <w:rPr>
          <w:rStyle w:val="Cuerpodeltexto795ptoSincursiva"/>
          <w:rFonts w:ascii="Verdana" w:hAnsi="Verdana"/>
          <w:i w:val="0"/>
          <w:iCs w:val="0"/>
          <w:sz w:val="24"/>
          <w:szCs w:val="24"/>
        </w:rPr>
      </w:pPr>
    </w:p>
    <w:p w14:paraId="15EC8CBA" w14:textId="4C3998FE" w:rsidR="00596B91" w:rsidRPr="008615B1" w:rsidRDefault="008615B1" w:rsidP="008615B1">
      <w:pPr>
        <w:pStyle w:val="Sinespaciado"/>
        <w:jc w:val="both"/>
        <w:rPr>
          <w:rFonts w:ascii="Verdana" w:hAnsi="Verdana"/>
          <w:i/>
          <w:iCs/>
        </w:rPr>
      </w:pPr>
      <w:r w:rsidRPr="008615B1">
        <w:rPr>
          <w:rStyle w:val="Cuerpodeltexto795ptoSincursiva"/>
          <w:rFonts w:ascii="Verdana" w:hAnsi="Verdana"/>
          <w:i w:val="0"/>
          <w:iCs w:val="0"/>
          <w:sz w:val="24"/>
          <w:szCs w:val="24"/>
        </w:rPr>
        <w:t xml:space="preserve">Recordemos que el Código General del Proceso, Ley 1564 de 2012, en el artículo 165, relativo a los </w:t>
      </w:r>
      <w:r w:rsidRPr="008615B1">
        <w:rPr>
          <w:rStyle w:val="Cuerpodeltexto7Negrita0"/>
          <w:rFonts w:ascii="Verdana" w:hAnsi="Verdana"/>
          <w:sz w:val="24"/>
          <w:szCs w:val="24"/>
        </w:rPr>
        <w:t>“Medios de prueba”</w:t>
      </w:r>
      <w:r w:rsidRPr="008615B1">
        <w:rPr>
          <w:rStyle w:val="Cuerpodeltexto7Sincursiva"/>
          <w:rFonts w:ascii="Verdana" w:hAnsi="Verdana"/>
          <w:i w:val="0"/>
          <w:iCs w:val="0"/>
          <w:sz w:val="24"/>
          <w:szCs w:val="24"/>
        </w:rPr>
        <w:t xml:space="preserve"> </w:t>
      </w:r>
      <w:r w:rsidRPr="008615B1">
        <w:rPr>
          <w:rStyle w:val="Cuerpodeltexto795ptoSincursiva"/>
          <w:rFonts w:ascii="Verdana" w:hAnsi="Verdana"/>
          <w:i w:val="0"/>
          <w:iCs w:val="0"/>
          <w:sz w:val="24"/>
          <w:szCs w:val="24"/>
        </w:rPr>
        <w:t xml:space="preserve">señala que: </w:t>
      </w:r>
      <w:r w:rsidRPr="008615B1">
        <w:rPr>
          <w:rFonts w:ascii="Verdana" w:hAnsi="Verdana"/>
          <w:i/>
          <w:iCs/>
        </w:rPr>
        <w:t>“Son medios de prueba la declaración de parte, la confesión, el juramento</w:t>
      </w:r>
      <w:r w:rsidRPr="008615B1">
        <w:rPr>
          <w:rFonts w:ascii="Verdana" w:hAnsi="Verdana"/>
        </w:rPr>
        <w:t xml:space="preserve">, </w:t>
      </w:r>
      <w:r w:rsidRPr="008615B1">
        <w:rPr>
          <w:rStyle w:val="Cuerpodeltexto7Negrita"/>
          <w:rFonts w:ascii="Verdana" w:hAnsi="Verdana"/>
          <w:sz w:val="24"/>
          <w:szCs w:val="24"/>
        </w:rPr>
        <w:t>el testimonio de terceros</w:t>
      </w:r>
      <w:r w:rsidRPr="008615B1">
        <w:rPr>
          <w:rStyle w:val="Cuerpodeltexto71"/>
          <w:rFonts w:ascii="Verdana" w:hAnsi="Verdana"/>
          <w:sz w:val="24"/>
          <w:szCs w:val="24"/>
          <w:u w:val="none"/>
        </w:rPr>
        <w:t>,</w:t>
      </w:r>
      <w:r w:rsidRPr="008615B1">
        <w:rPr>
          <w:rFonts w:ascii="Verdana" w:hAnsi="Verdana"/>
        </w:rPr>
        <w:t xml:space="preserve"> </w:t>
      </w:r>
      <w:r w:rsidRPr="008615B1">
        <w:rPr>
          <w:rFonts w:ascii="Verdana" w:hAnsi="Verdana"/>
          <w:i/>
          <w:iCs/>
        </w:rPr>
        <w:t xml:space="preserve">el dictamen pericial, la inspección judicial, los documentos, los indicios, los informes y cualesquiera otros medios que </w:t>
      </w:r>
      <w:r w:rsidRPr="008615B1">
        <w:rPr>
          <w:rFonts w:ascii="Verdana" w:hAnsi="Verdana"/>
          <w:i/>
          <w:iCs/>
        </w:rPr>
        <w:lastRenderedPageBreak/>
        <w:t>sean útiles para la formación del convencimiento del juez.” (El subrayado es nuestro)</w:t>
      </w:r>
    </w:p>
    <w:p w14:paraId="204C38C4" w14:textId="77777777" w:rsidR="008615B1" w:rsidRDefault="008615B1" w:rsidP="008615B1">
      <w:pPr>
        <w:pStyle w:val="Sinespaciado"/>
        <w:jc w:val="both"/>
        <w:rPr>
          <w:rFonts w:ascii="Verdana" w:hAnsi="Verdana"/>
        </w:rPr>
      </w:pPr>
    </w:p>
    <w:p w14:paraId="2EDF7ABC" w14:textId="5499833A" w:rsidR="00596B91" w:rsidRPr="008615B1" w:rsidRDefault="008615B1" w:rsidP="008615B1">
      <w:pPr>
        <w:pStyle w:val="Sinespaciado"/>
        <w:jc w:val="both"/>
        <w:rPr>
          <w:rFonts w:ascii="Verdana" w:hAnsi="Verdana"/>
        </w:rPr>
      </w:pPr>
      <w:r w:rsidRPr="008615B1">
        <w:rPr>
          <w:rFonts w:ascii="Verdana" w:hAnsi="Verdana"/>
        </w:rPr>
        <w:t xml:space="preserve">Considerando entonces que la misma ley tributaria da el carácter de </w:t>
      </w:r>
      <w:r w:rsidRPr="008615B1">
        <w:rPr>
          <w:rStyle w:val="Cuerpodeltexto2110ptoNegrita"/>
          <w:rFonts w:ascii="Verdana" w:hAnsi="Verdana"/>
          <w:sz w:val="24"/>
          <w:szCs w:val="24"/>
        </w:rPr>
        <w:t xml:space="preserve">“testimonio” </w:t>
      </w:r>
      <w:r w:rsidRPr="008615B1">
        <w:rPr>
          <w:rFonts w:ascii="Verdana" w:hAnsi="Verdana"/>
        </w:rPr>
        <w:t xml:space="preserve">a la información suministrada por terceros, aspecto que, en su momento, se puso en evidencia en el Oficio </w:t>
      </w:r>
      <w:r w:rsidRPr="008615B1">
        <w:rPr>
          <w:rStyle w:val="Cuerpodeltexto2110ptoNegrita"/>
          <w:rFonts w:ascii="Verdana" w:hAnsi="Verdana"/>
          <w:sz w:val="24"/>
          <w:szCs w:val="24"/>
        </w:rPr>
        <w:t xml:space="preserve">027788 de 2017 </w:t>
      </w:r>
      <w:r w:rsidRPr="008615B1">
        <w:rPr>
          <w:rFonts w:ascii="Verdana" w:hAnsi="Verdana"/>
        </w:rPr>
        <w:t xml:space="preserve">que se anexa, </w:t>
      </w:r>
      <w:r w:rsidRPr="008615B1">
        <w:rPr>
          <w:rStyle w:val="Cuerpodeltexto211"/>
          <w:rFonts w:ascii="Verdana" w:hAnsi="Verdana"/>
          <w:sz w:val="24"/>
          <w:szCs w:val="24"/>
        </w:rPr>
        <w:t>es claro que la información de terceros que la DIAN considere en sus procesos de investigación tiene dicho carácter, por expresa disposición legal</w:t>
      </w:r>
      <w:r w:rsidRPr="008615B1">
        <w:rPr>
          <w:rFonts w:ascii="Verdana" w:hAnsi="Verdana"/>
        </w:rPr>
        <w:t>.</w:t>
      </w:r>
    </w:p>
    <w:p w14:paraId="225F5A78" w14:textId="77777777" w:rsidR="008615B1" w:rsidRDefault="008615B1" w:rsidP="008615B1">
      <w:pPr>
        <w:pStyle w:val="Sinespaciado"/>
        <w:jc w:val="both"/>
        <w:rPr>
          <w:rFonts w:ascii="Verdana" w:hAnsi="Verdana"/>
        </w:rPr>
      </w:pPr>
    </w:p>
    <w:p w14:paraId="4E745CDB" w14:textId="272A71E0" w:rsidR="00596B91" w:rsidRPr="008615B1" w:rsidRDefault="008615B1" w:rsidP="008615B1">
      <w:pPr>
        <w:pStyle w:val="Sinespaciado"/>
        <w:jc w:val="both"/>
        <w:rPr>
          <w:rFonts w:ascii="Verdana" w:hAnsi="Verdana"/>
        </w:rPr>
      </w:pPr>
      <w:r w:rsidRPr="008615B1">
        <w:rPr>
          <w:rFonts w:ascii="Verdana" w:hAnsi="Verdana"/>
        </w:rPr>
        <w:t xml:space="preserve">En relación con el valor probatorio de la información suministrada por terceros, es pertinente tener en cuenta que el artículo 176 de la Ley 1564 de 2012, sobre </w:t>
      </w:r>
      <w:r w:rsidRPr="008615B1">
        <w:rPr>
          <w:rStyle w:val="Cuerpodeltexto2110ptoCursiva"/>
          <w:rFonts w:ascii="Verdana" w:hAnsi="Verdana"/>
          <w:sz w:val="24"/>
          <w:szCs w:val="24"/>
        </w:rPr>
        <w:t xml:space="preserve">“Apreciación de las pruebas”, </w:t>
      </w:r>
      <w:r w:rsidRPr="008615B1">
        <w:rPr>
          <w:rFonts w:ascii="Verdana" w:hAnsi="Verdana"/>
        </w:rPr>
        <w:t>establece que:</w:t>
      </w:r>
    </w:p>
    <w:p w14:paraId="0F615478" w14:textId="77777777" w:rsidR="008615B1" w:rsidRDefault="008615B1" w:rsidP="008615B1">
      <w:pPr>
        <w:pStyle w:val="Sinespaciado"/>
        <w:ind w:left="708"/>
        <w:jc w:val="both"/>
        <w:rPr>
          <w:rStyle w:val="Cuerpodeltexto71"/>
          <w:rFonts w:ascii="Verdana" w:hAnsi="Verdana"/>
          <w:sz w:val="24"/>
          <w:szCs w:val="24"/>
        </w:rPr>
      </w:pPr>
    </w:p>
    <w:p w14:paraId="611B203D" w14:textId="0237784D" w:rsidR="00596B91" w:rsidRPr="008615B1" w:rsidRDefault="008615B1" w:rsidP="008615B1">
      <w:pPr>
        <w:pStyle w:val="Sinespaciado"/>
        <w:ind w:left="708"/>
        <w:jc w:val="both"/>
        <w:rPr>
          <w:rFonts w:ascii="Verdana" w:hAnsi="Verdana"/>
          <w:i/>
          <w:iCs/>
        </w:rPr>
      </w:pPr>
      <w:r w:rsidRPr="008615B1">
        <w:rPr>
          <w:rStyle w:val="Cuerpodeltexto7Negrita"/>
          <w:rFonts w:ascii="Verdana" w:hAnsi="Verdana"/>
          <w:sz w:val="24"/>
          <w:szCs w:val="24"/>
          <w:u w:val="none"/>
        </w:rPr>
        <w:t>“</w:t>
      </w:r>
      <w:r w:rsidRPr="008615B1">
        <w:rPr>
          <w:rStyle w:val="Cuerpodeltexto7Negrita"/>
          <w:rFonts w:ascii="Verdana" w:hAnsi="Verdana"/>
          <w:sz w:val="24"/>
          <w:szCs w:val="24"/>
        </w:rPr>
        <w:t>Las pruebas deberán ser apreciadas en conjunto</w:t>
      </w:r>
      <w:r w:rsidRPr="008615B1">
        <w:rPr>
          <w:rStyle w:val="Cuerpodeltexto71"/>
          <w:rFonts w:ascii="Verdana" w:hAnsi="Verdana"/>
          <w:sz w:val="24"/>
          <w:szCs w:val="24"/>
        </w:rPr>
        <w:t xml:space="preserve">, </w:t>
      </w:r>
      <w:r w:rsidRPr="008615B1">
        <w:rPr>
          <w:rStyle w:val="Cuerpodeltexto7Negrita"/>
          <w:rFonts w:ascii="Verdana" w:hAnsi="Verdana"/>
          <w:sz w:val="24"/>
          <w:szCs w:val="24"/>
        </w:rPr>
        <w:t>de acuerdo con las reglas de la sana crítica</w:t>
      </w:r>
      <w:r w:rsidRPr="008615B1">
        <w:rPr>
          <w:rStyle w:val="Cuerpodeltexto7Negrita"/>
          <w:rFonts w:ascii="Verdana" w:hAnsi="Verdana"/>
          <w:sz w:val="24"/>
          <w:szCs w:val="24"/>
          <w:u w:val="none"/>
        </w:rPr>
        <w:t>,</w:t>
      </w:r>
      <w:r w:rsidRPr="008615B1">
        <w:rPr>
          <w:rStyle w:val="Cuerpodeltexto7Negrita0"/>
          <w:rFonts w:ascii="Verdana" w:hAnsi="Verdana"/>
          <w:sz w:val="24"/>
          <w:szCs w:val="24"/>
        </w:rPr>
        <w:t xml:space="preserve"> </w:t>
      </w:r>
      <w:r w:rsidRPr="008615B1">
        <w:rPr>
          <w:rFonts w:ascii="Verdana" w:hAnsi="Verdana"/>
          <w:i/>
          <w:iCs/>
        </w:rPr>
        <w:t>sin perjuicio de las solemnidades prescritas en la ley sustancial para la existencia o validez de ciertos actos.</w:t>
      </w:r>
    </w:p>
    <w:p w14:paraId="68B0A677" w14:textId="77777777" w:rsidR="00596B91" w:rsidRPr="008615B1" w:rsidRDefault="008615B1" w:rsidP="008615B1">
      <w:pPr>
        <w:pStyle w:val="Sinespaciado"/>
        <w:ind w:left="708"/>
        <w:jc w:val="both"/>
        <w:rPr>
          <w:rFonts w:ascii="Verdana" w:hAnsi="Verdana"/>
          <w:i/>
          <w:iCs/>
        </w:rPr>
      </w:pPr>
      <w:r w:rsidRPr="008615B1">
        <w:rPr>
          <w:rFonts w:ascii="Verdana" w:hAnsi="Verdana"/>
          <w:i/>
          <w:iCs/>
        </w:rPr>
        <w:t>El juez expondrá siempre razonadamente el mérito que le asigne a cada prueba”. (El destacado es nuestro)</w:t>
      </w:r>
    </w:p>
    <w:p w14:paraId="45926947" w14:textId="77777777" w:rsidR="008615B1" w:rsidRDefault="008615B1" w:rsidP="008615B1">
      <w:pPr>
        <w:pStyle w:val="Sinespaciado"/>
        <w:jc w:val="both"/>
        <w:rPr>
          <w:rFonts w:ascii="Verdana" w:hAnsi="Verdana"/>
        </w:rPr>
      </w:pPr>
    </w:p>
    <w:p w14:paraId="5BEF090E" w14:textId="062841D3" w:rsidR="00596B91" w:rsidRPr="008615B1" w:rsidRDefault="008615B1" w:rsidP="008615B1">
      <w:pPr>
        <w:pStyle w:val="Sinespaciado"/>
        <w:jc w:val="both"/>
        <w:rPr>
          <w:rFonts w:ascii="Verdana" w:hAnsi="Verdana"/>
        </w:rPr>
      </w:pPr>
      <w:r w:rsidRPr="008615B1">
        <w:rPr>
          <w:rFonts w:ascii="Verdana" w:hAnsi="Verdana"/>
        </w:rPr>
        <w:t xml:space="preserve">Por su parte, el artículo. 742 del Estauto </w:t>
      </w:r>
      <w:r>
        <w:rPr>
          <w:rFonts w:ascii="Verdana" w:hAnsi="Verdana"/>
        </w:rPr>
        <w:t xml:space="preserve">(sic) </w:t>
      </w:r>
      <w:r w:rsidRPr="008615B1">
        <w:rPr>
          <w:rFonts w:ascii="Verdana" w:hAnsi="Verdana"/>
        </w:rPr>
        <w:t>Tributario consagra lo siguiente:</w:t>
      </w:r>
    </w:p>
    <w:p w14:paraId="1DAFD6FA" w14:textId="77777777" w:rsidR="008615B1" w:rsidRDefault="008615B1" w:rsidP="008615B1">
      <w:pPr>
        <w:pStyle w:val="Sinespaciado"/>
        <w:jc w:val="both"/>
        <w:rPr>
          <w:rStyle w:val="Cuerpodeltexto7Negrita0"/>
          <w:rFonts w:ascii="Verdana" w:hAnsi="Verdana"/>
          <w:sz w:val="24"/>
          <w:szCs w:val="24"/>
        </w:rPr>
      </w:pPr>
    </w:p>
    <w:p w14:paraId="7C3B5884" w14:textId="22A15073" w:rsidR="00596B91" w:rsidRPr="008615B1" w:rsidRDefault="008615B1" w:rsidP="008615B1">
      <w:pPr>
        <w:pStyle w:val="Sinespaciado"/>
        <w:ind w:left="708"/>
        <w:jc w:val="both"/>
        <w:rPr>
          <w:rFonts w:ascii="Verdana" w:hAnsi="Verdana"/>
        </w:rPr>
      </w:pPr>
      <w:r w:rsidRPr="008615B1">
        <w:rPr>
          <w:rStyle w:val="Cuerpodeltexto7Negrita0"/>
          <w:rFonts w:ascii="Verdana" w:hAnsi="Verdana"/>
          <w:sz w:val="24"/>
          <w:szCs w:val="24"/>
        </w:rPr>
        <w:t xml:space="preserve">“Art. 742. Las decisiones de la administración deben fundarse en los hechos probados. </w:t>
      </w:r>
      <w:r w:rsidRPr="008615B1">
        <w:rPr>
          <w:rStyle w:val="Cuerpodeltexto71"/>
          <w:rFonts w:ascii="Verdana" w:hAnsi="Verdana"/>
          <w:sz w:val="24"/>
          <w:szCs w:val="24"/>
        </w:rPr>
        <w:t>La determinación de tributos y la imposición de sanciones deben fundarse en los hechos que aparezcan demostrados en el respectivo expediente,</w:t>
      </w:r>
      <w:r w:rsidRPr="008615B1">
        <w:rPr>
          <w:rFonts w:ascii="Verdana" w:hAnsi="Verdana"/>
        </w:rPr>
        <w:t xml:space="preserve"> </w:t>
      </w:r>
      <w:r w:rsidRPr="008615B1">
        <w:rPr>
          <w:rStyle w:val="Cuerpodeltexto7Negrita0"/>
          <w:rFonts w:ascii="Verdana" w:hAnsi="Verdana"/>
          <w:sz w:val="24"/>
          <w:szCs w:val="24"/>
        </w:rPr>
        <w:t xml:space="preserve">por los medios de prueba señalados en las leyes tributarias </w:t>
      </w:r>
      <w:r w:rsidRPr="008615B1">
        <w:rPr>
          <w:rFonts w:ascii="Verdana" w:hAnsi="Verdana"/>
          <w:i/>
          <w:iCs/>
        </w:rPr>
        <w:t xml:space="preserve">o en el Código de Procedimiento Civil, en cuanto éstos sean compatibles con aquellos.” (Subrayado y reslatado </w:t>
      </w:r>
      <w:r>
        <w:rPr>
          <w:rFonts w:ascii="Verdana" w:hAnsi="Verdana"/>
          <w:i/>
          <w:iCs/>
        </w:rPr>
        <w:t xml:space="preserve">(sic) </w:t>
      </w:r>
      <w:r w:rsidRPr="008615B1">
        <w:rPr>
          <w:rFonts w:ascii="Verdana" w:hAnsi="Verdana"/>
          <w:i/>
          <w:iCs/>
        </w:rPr>
        <w:t xml:space="preserve">feura </w:t>
      </w:r>
      <w:r>
        <w:rPr>
          <w:rFonts w:ascii="Verdana" w:hAnsi="Verdana"/>
          <w:i/>
          <w:iCs/>
        </w:rPr>
        <w:t xml:space="preserve">(sic) </w:t>
      </w:r>
      <w:r w:rsidRPr="008615B1">
        <w:rPr>
          <w:rFonts w:ascii="Verdana" w:hAnsi="Verdana"/>
          <w:i/>
          <w:iCs/>
        </w:rPr>
        <w:t>de texto)</w:t>
      </w:r>
    </w:p>
    <w:p w14:paraId="60C05FEB" w14:textId="77777777" w:rsidR="008615B1" w:rsidRDefault="008615B1" w:rsidP="008615B1">
      <w:pPr>
        <w:pStyle w:val="Sinespaciado"/>
        <w:jc w:val="both"/>
        <w:rPr>
          <w:rFonts w:ascii="Verdana" w:hAnsi="Verdana"/>
        </w:rPr>
      </w:pPr>
    </w:p>
    <w:p w14:paraId="0BBFB884" w14:textId="3E6E1CE6" w:rsidR="00596B91" w:rsidRPr="008615B1" w:rsidRDefault="008615B1" w:rsidP="008615B1">
      <w:pPr>
        <w:pStyle w:val="Sinespaciado"/>
        <w:jc w:val="both"/>
        <w:rPr>
          <w:rFonts w:ascii="Verdana" w:hAnsi="Verdana"/>
        </w:rPr>
      </w:pPr>
      <w:r w:rsidRPr="008615B1">
        <w:rPr>
          <w:rFonts w:ascii="Verdana" w:hAnsi="Verdana"/>
        </w:rPr>
        <w:t>En los anteriores términos se resuelve su solicitud y finalmente le manifestamos que la Dirección de Impuestos y Aduanas Nacionales-DIAN-, con el fin de facilitar a los contribuyentes, usuarios y público en general el acceso directo a sus pronunciamientos doctrinarios, ha publicado en su página de internet S www.dian.gov.co, la base de conceptos en materia tributaria, aduanera y cambiaria expedidos desde el año 2001, la cual se puede ingresar por el ícono de “Normatividad” -“Doctrina”-, dando click en el link “Doctrina Dirección de Gestión Jurídica”.</w:t>
      </w:r>
    </w:p>
    <w:p w14:paraId="31183D01" w14:textId="77777777" w:rsidR="008615B1" w:rsidRDefault="008615B1" w:rsidP="008615B1">
      <w:pPr>
        <w:pStyle w:val="Sinespaciado"/>
        <w:jc w:val="both"/>
        <w:rPr>
          <w:rFonts w:ascii="Verdana" w:hAnsi="Verdana"/>
        </w:rPr>
      </w:pPr>
    </w:p>
    <w:p w14:paraId="4D4F4A8F" w14:textId="77777777" w:rsidR="008615B1" w:rsidRDefault="008615B1" w:rsidP="008615B1">
      <w:pPr>
        <w:pStyle w:val="Sinespaciado"/>
        <w:jc w:val="both"/>
        <w:rPr>
          <w:rFonts w:ascii="Verdana" w:hAnsi="Verdana"/>
        </w:rPr>
      </w:pPr>
    </w:p>
    <w:p w14:paraId="55165D78" w14:textId="09E91174" w:rsidR="00596B91" w:rsidRPr="008615B1" w:rsidRDefault="008615B1" w:rsidP="008615B1">
      <w:pPr>
        <w:pStyle w:val="Sinespaciado"/>
        <w:jc w:val="both"/>
        <w:rPr>
          <w:rFonts w:ascii="Verdana" w:hAnsi="Verdana"/>
        </w:rPr>
      </w:pPr>
      <w:r w:rsidRPr="008615B1">
        <w:rPr>
          <w:rFonts w:ascii="Verdana" w:hAnsi="Verdana"/>
        </w:rPr>
        <w:t>Atentamente,</w:t>
      </w:r>
    </w:p>
    <w:p w14:paraId="1666C7EC" w14:textId="77777777" w:rsidR="00596B91" w:rsidRPr="008615B1" w:rsidRDefault="008615B1" w:rsidP="008615B1">
      <w:pPr>
        <w:pStyle w:val="Sinespaciado"/>
        <w:jc w:val="both"/>
        <w:rPr>
          <w:rFonts w:ascii="Verdana" w:hAnsi="Verdana"/>
          <w:b/>
          <w:bCs/>
        </w:rPr>
      </w:pPr>
      <w:bookmarkStart w:id="1" w:name="bookmark0"/>
      <w:r w:rsidRPr="008615B1">
        <w:rPr>
          <w:rFonts w:ascii="Verdana" w:hAnsi="Verdana"/>
          <w:b/>
          <w:bCs/>
        </w:rPr>
        <w:lastRenderedPageBreak/>
        <w:t>PABLO EMILIO MENDOZA VELILLA</w:t>
      </w:r>
      <w:bookmarkEnd w:id="1"/>
    </w:p>
    <w:p w14:paraId="533350AD" w14:textId="77777777" w:rsidR="008615B1" w:rsidRDefault="008615B1" w:rsidP="008615B1">
      <w:pPr>
        <w:pStyle w:val="Sinespaciado"/>
        <w:jc w:val="both"/>
        <w:rPr>
          <w:rFonts w:ascii="Verdana" w:hAnsi="Verdana"/>
        </w:rPr>
      </w:pPr>
      <w:r w:rsidRPr="008615B1">
        <w:rPr>
          <w:rFonts w:ascii="Verdana" w:hAnsi="Verdana"/>
        </w:rPr>
        <w:t>Subdirector de Gestión de Normativa y Doctrina</w:t>
      </w:r>
    </w:p>
    <w:p w14:paraId="13ED4298" w14:textId="77777777" w:rsidR="008615B1" w:rsidRDefault="008615B1" w:rsidP="008615B1">
      <w:pPr>
        <w:pStyle w:val="Sinespaciado"/>
        <w:jc w:val="both"/>
        <w:rPr>
          <w:rFonts w:ascii="Verdana" w:hAnsi="Verdana"/>
        </w:rPr>
      </w:pPr>
      <w:r w:rsidRPr="008615B1">
        <w:rPr>
          <w:rFonts w:ascii="Verdana" w:hAnsi="Verdana"/>
        </w:rPr>
        <w:t>Dirección de Gestión Jurídica</w:t>
      </w:r>
    </w:p>
    <w:p w14:paraId="21364D41" w14:textId="77777777" w:rsidR="008615B1" w:rsidRDefault="008615B1" w:rsidP="008615B1">
      <w:pPr>
        <w:pStyle w:val="Sinespaciado"/>
        <w:jc w:val="both"/>
        <w:rPr>
          <w:rFonts w:ascii="Verdana" w:hAnsi="Verdana"/>
        </w:rPr>
      </w:pPr>
      <w:r w:rsidRPr="008615B1">
        <w:rPr>
          <w:rFonts w:ascii="Verdana" w:hAnsi="Verdana"/>
        </w:rPr>
        <w:t>UAE-Dirección de Impuestos y Aduanas Nacionales</w:t>
      </w:r>
    </w:p>
    <w:p w14:paraId="4EBBB7F1" w14:textId="77777777" w:rsidR="008615B1" w:rsidRDefault="008615B1" w:rsidP="008615B1">
      <w:pPr>
        <w:pStyle w:val="Sinespaciado"/>
        <w:jc w:val="both"/>
        <w:rPr>
          <w:rFonts w:ascii="Verdana" w:hAnsi="Verdana"/>
        </w:rPr>
      </w:pPr>
      <w:r w:rsidRPr="008615B1">
        <w:rPr>
          <w:rFonts w:ascii="Verdana" w:hAnsi="Verdana"/>
        </w:rPr>
        <w:t>Car. 8 N° 6C-38 Piso 4, Edificio San Agustín</w:t>
      </w:r>
    </w:p>
    <w:p w14:paraId="001068F4" w14:textId="6758A4EB" w:rsidR="00596B91" w:rsidRPr="008615B1" w:rsidRDefault="008615B1" w:rsidP="008615B1">
      <w:pPr>
        <w:pStyle w:val="Sinespaciado"/>
        <w:jc w:val="both"/>
        <w:rPr>
          <w:rFonts w:ascii="Verdana" w:hAnsi="Verdana"/>
        </w:rPr>
      </w:pPr>
      <w:r w:rsidRPr="008615B1">
        <w:rPr>
          <w:rFonts w:ascii="Verdana" w:hAnsi="Verdana"/>
        </w:rPr>
        <w:t>Bogotá D.C.</w:t>
      </w:r>
    </w:p>
    <w:p w14:paraId="322F8AF0" w14:textId="77777777" w:rsidR="008615B1" w:rsidRDefault="008615B1" w:rsidP="008615B1">
      <w:pPr>
        <w:pStyle w:val="Sinespaciado"/>
        <w:jc w:val="both"/>
        <w:rPr>
          <w:rFonts w:ascii="Verdana" w:hAnsi="Verdana"/>
        </w:rPr>
      </w:pPr>
    </w:p>
    <w:p w14:paraId="1096FF4F" w14:textId="128C79F6" w:rsidR="00596B91" w:rsidRPr="008615B1" w:rsidRDefault="008615B1" w:rsidP="008615B1">
      <w:pPr>
        <w:pStyle w:val="Sinespaciado"/>
        <w:jc w:val="both"/>
        <w:rPr>
          <w:rFonts w:ascii="Verdana" w:hAnsi="Verdana"/>
          <w:sz w:val="20"/>
          <w:szCs w:val="20"/>
        </w:rPr>
      </w:pPr>
      <w:r w:rsidRPr="008615B1">
        <w:rPr>
          <w:rFonts w:ascii="Verdana" w:hAnsi="Verdana"/>
          <w:sz w:val="20"/>
          <w:szCs w:val="20"/>
        </w:rPr>
        <w:t>Anexo: Oficio 027788 de octubre de 2017.</w:t>
      </w:r>
    </w:p>
    <w:sectPr w:rsidR="00596B91" w:rsidRPr="008615B1" w:rsidSect="008615B1">
      <w:type w:val="continuous"/>
      <w:pgSz w:w="12240" w:h="15840" w:code="1"/>
      <w:pgMar w:top="1418" w:right="1701" w:bottom="1418" w:left="1701" w:header="709" w:footer="1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39847" w14:textId="77777777" w:rsidR="001303D2" w:rsidRDefault="001303D2">
      <w:r>
        <w:separator/>
      </w:r>
    </w:p>
  </w:endnote>
  <w:endnote w:type="continuationSeparator" w:id="0">
    <w:p w14:paraId="22DFB85D" w14:textId="77777777" w:rsidR="001303D2" w:rsidRDefault="0013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32B17" w14:textId="77777777" w:rsidR="001303D2" w:rsidRDefault="001303D2"/>
  </w:footnote>
  <w:footnote w:type="continuationSeparator" w:id="0">
    <w:p w14:paraId="117BF76E" w14:textId="77777777" w:rsidR="001303D2" w:rsidRDefault="001303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91"/>
    <w:rsid w:val="00100503"/>
    <w:rsid w:val="001303D2"/>
    <w:rsid w:val="00596B91"/>
    <w:rsid w:val="008615B1"/>
    <w:rsid w:val="008D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C642D8"/>
  <w15:docId w15:val="{997CDAFF-F299-44D6-A223-E1578AF1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21">
    <w:name w:val="Cuerpo del texto (21)_"/>
    <w:basedOn w:val="Fuentedeprrafopredeter"/>
    <w:link w:val="Cuerpodeltexto2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211">
    <w:name w:val="Cuerpo del texto (21)"/>
    <w:basedOn w:val="Cuerpodeltexto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s-ES" w:eastAsia="es-ES" w:bidi="es-ES"/>
    </w:rPr>
  </w:style>
  <w:style w:type="character" w:customStyle="1" w:styleId="Cuerpodeltexto7">
    <w:name w:val="Cuerpo del texto (7)_"/>
    <w:basedOn w:val="Fuentedeprrafopredeter"/>
    <w:link w:val="Cuerpodeltexto7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uerpodeltexto71">
    <w:name w:val="Cuerpo del texto (7)"/>
    <w:basedOn w:val="Cuerpodeltexto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s-ES" w:eastAsia="es-ES" w:bidi="es-ES"/>
    </w:rPr>
  </w:style>
  <w:style w:type="character" w:customStyle="1" w:styleId="Cuerpodeltexto9">
    <w:name w:val="Cuerpo del texto (9)_"/>
    <w:basedOn w:val="Fuentedeprrafopredeter"/>
    <w:link w:val="Cuerpodeltexto9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Cuerpodeltexto9Sinnegrita">
    <w:name w:val="Cuerpo del texto (9) + Sin negrita"/>
    <w:basedOn w:val="Cuerpodeltexto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s-ES" w:eastAsia="es-ES" w:bidi="es-ES"/>
    </w:rPr>
  </w:style>
  <w:style w:type="character" w:customStyle="1" w:styleId="Cuerpodeltexto9Sinnegrita0">
    <w:name w:val="Cuerpo del texto (9) + Sin negrita"/>
    <w:basedOn w:val="Cuerpodeltexto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91">
    <w:name w:val="Cuerpo del texto (9)"/>
    <w:basedOn w:val="Cuerpodeltexto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s-ES" w:eastAsia="es-ES" w:bidi="es-ES"/>
    </w:rPr>
  </w:style>
  <w:style w:type="character" w:customStyle="1" w:styleId="Cuerpodeltexto21Versales">
    <w:name w:val="Cuerpo del texto (21) + Versales"/>
    <w:basedOn w:val="Cuerpodeltexto21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7Negrita">
    <w:name w:val="Cuerpo del texto (7) + Negrita"/>
    <w:basedOn w:val="Cuerpodeltexto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s-ES" w:eastAsia="es-ES" w:bidi="es-ES"/>
    </w:rPr>
  </w:style>
  <w:style w:type="character" w:customStyle="1" w:styleId="Cuerpodeltexto795ptoSincursiva">
    <w:name w:val="Cuerpo del texto (7) + 9;5 pto;Sin cursiva"/>
    <w:basedOn w:val="Cuerpodeltexto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7Negrita0">
    <w:name w:val="Cuerpo del texto (7) + Negrita"/>
    <w:basedOn w:val="Cuerpodeltexto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7Sincursiva">
    <w:name w:val="Cuerpo del texto (7) + Sin cursiva"/>
    <w:basedOn w:val="Cuerpodeltexto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110ptoNegrita">
    <w:name w:val="Cuerpo del texto (21) + 10 pto;Negrita"/>
    <w:basedOn w:val="Cuerpodeltexto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110ptoCursiva">
    <w:name w:val="Cuerpo del texto (21) + 10 pto;Cursiva"/>
    <w:basedOn w:val="Cuerpodeltexto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12">
    <w:name w:val="Cuerpo del texto (21)"/>
    <w:basedOn w:val="Cuerpodeltexto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s-ES" w:eastAsia="es-ES" w:bidi="es-ES"/>
    </w:rPr>
  </w:style>
  <w:style w:type="character" w:customStyle="1" w:styleId="Cuerpodeltexto23">
    <w:name w:val="Cuerpo del texto (23)_"/>
    <w:basedOn w:val="Fuentedeprrafopredeter"/>
    <w:link w:val="Cuerpodeltexto2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uerpodeltexto23Cursiva">
    <w:name w:val="Cuerpo del texto (23) + Cursiva"/>
    <w:basedOn w:val="Cuerpodeltexto2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23Cursiva0">
    <w:name w:val="Cuerpo del texto (23) + Cursiva"/>
    <w:basedOn w:val="Cuerpodeltexto2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es-ES" w:eastAsia="es-ES" w:bidi="es-ES"/>
    </w:rPr>
  </w:style>
  <w:style w:type="character" w:customStyle="1" w:styleId="Cuerpodeltexto231">
    <w:name w:val="Cuerpo del texto (23)"/>
    <w:basedOn w:val="Cuerpodeltexto2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Ttulo12">
    <w:name w:val="Título #1 (2)_"/>
    <w:basedOn w:val="Fuentedeprrafopredeter"/>
    <w:link w:val="Ttulo1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11">
    <w:name w:val="Cuerpo del texto (11)_"/>
    <w:basedOn w:val="Fuentedeprrafopredeter"/>
    <w:link w:val="Cuerpodeltexto1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Cuerpodeltexto210">
    <w:name w:val="Cuerpo del texto (21)"/>
    <w:basedOn w:val="Normal"/>
    <w:link w:val="Cuerpodeltexto21"/>
    <w:pPr>
      <w:shd w:val="clear" w:color="auto" w:fill="FFFFFF"/>
      <w:spacing w:after="60" w:line="0" w:lineRule="atLeast"/>
      <w:ind w:hanging="2180"/>
    </w:pPr>
    <w:rPr>
      <w:rFonts w:ascii="Arial" w:eastAsia="Arial" w:hAnsi="Arial" w:cs="Arial"/>
      <w:sz w:val="19"/>
      <w:szCs w:val="19"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before="180" w:after="180" w:line="254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Cuerpodeltexto90">
    <w:name w:val="Cuerpo del texto (9)"/>
    <w:basedOn w:val="Normal"/>
    <w:link w:val="Cuerpodeltexto9"/>
    <w:pPr>
      <w:shd w:val="clear" w:color="auto" w:fill="FFFFFF"/>
      <w:spacing w:before="180" w:after="180" w:line="230" w:lineRule="exact"/>
      <w:ind w:hanging="400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Cuerpodeltexto230">
    <w:name w:val="Cuerpo del texto (23)"/>
    <w:basedOn w:val="Normal"/>
    <w:link w:val="Cuerpodeltexto23"/>
    <w:pPr>
      <w:shd w:val="clear" w:color="auto" w:fill="FFFFFF"/>
      <w:spacing w:before="240" w:line="106" w:lineRule="exact"/>
      <w:jc w:val="both"/>
    </w:pPr>
    <w:rPr>
      <w:rFonts w:ascii="Trebuchet MS" w:eastAsia="Trebuchet MS" w:hAnsi="Trebuchet MS" w:cs="Trebuchet MS"/>
      <w:sz w:val="8"/>
      <w:szCs w:val="8"/>
    </w:rPr>
  </w:style>
  <w:style w:type="paragraph" w:customStyle="1" w:styleId="Ttulo120">
    <w:name w:val="Título #1 (2)"/>
    <w:basedOn w:val="Normal"/>
    <w:link w:val="Ttulo12"/>
    <w:pPr>
      <w:shd w:val="clear" w:color="auto" w:fill="FFFFFF"/>
      <w:spacing w:before="180" w:line="250" w:lineRule="exact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Cuerpodeltexto110">
    <w:name w:val="Cuerpo del texto (11)"/>
    <w:basedOn w:val="Normal"/>
    <w:link w:val="Cuerpodeltexto11"/>
    <w:pPr>
      <w:shd w:val="clear" w:color="auto" w:fill="FFFFFF"/>
      <w:spacing w:before="180" w:after="66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styleId="Sinespaciado">
    <w:name w:val="No Spacing"/>
    <w:uiPriority w:val="1"/>
    <w:qFormat/>
    <w:rsid w:val="008615B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1050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RMARTINQ</dc:creator>
  <cp:keywords/>
  <cp:lastModifiedBy>Microsoft Office User</cp:lastModifiedBy>
  <cp:revision>2</cp:revision>
  <dcterms:created xsi:type="dcterms:W3CDTF">2021-08-03T21:37:00Z</dcterms:created>
  <dcterms:modified xsi:type="dcterms:W3CDTF">2021-08-03T21:37:00Z</dcterms:modified>
</cp:coreProperties>
</file>