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4B6CB" w14:textId="50CAB88E" w:rsidR="00E05BA7" w:rsidRPr="00241567" w:rsidRDefault="00241567" w:rsidP="00241567">
      <w:pPr>
        <w:pStyle w:val="Sinespaciado"/>
        <w:jc w:val="both"/>
        <w:rPr>
          <w:rFonts w:ascii="Verdana" w:hAnsi="Verdana"/>
          <w:b/>
          <w:bCs/>
        </w:rPr>
      </w:pPr>
      <w:r w:rsidRPr="00241567">
        <w:rPr>
          <w:rFonts w:ascii="Verdana" w:hAnsi="Verdana"/>
          <w:b/>
          <w:bCs/>
        </w:rPr>
        <w:t>CONCEPTO 770 DEL</w:t>
      </w:r>
      <w:r w:rsidR="00F34799">
        <w:rPr>
          <w:rFonts w:ascii="Verdana" w:hAnsi="Verdana"/>
          <w:b/>
          <w:bCs/>
        </w:rPr>
        <w:t xml:space="preserve"> 31 DE MAYO DE 2021</w:t>
      </w:r>
    </w:p>
    <w:p w14:paraId="3D853B7B" w14:textId="39296FF1" w:rsidR="00241567" w:rsidRPr="00241567" w:rsidRDefault="00241567" w:rsidP="00241567">
      <w:pPr>
        <w:pStyle w:val="Sinespaciado"/>
        <w:jc w:val="both"/>
        <w:rPr>
          <w:rFonts w:ascii="Verdana" w:hAnsi="Verdana"/>
          <w:b/>
          <w:bCs/>
        </w:rPr>
      </w:pPr>
      <w:r w:rsidRPr="00241567">
        <w:rPr>
          <w:rFonts w:ascii="Verdana" w:hAnsi="Verdana"/>
          <w:b/>
          <w:bCs/>
        </w:rPr>
        <w:t>DIRECCIÓN DE IMPUESTOS Y ADUANAS NACIONALES</w:t>
      </w:r>
    </w:p>
    <w:p w14:paraId="18953043" w14:textId="77777777" w:rsidR="00E05BA7" w:rsidRPr="00241567" w:rsidRDefault="00E05BA7" w:rsidP="00241567">
      <w:pPr>
        <w:pStyle w:val="Sinespaciado"/>
        <w:jc w:val="both"/>
        <w:rPr>
          <w:rFonts w:ascii="Verdana" w:hAnsi="Verdana"/>
        </w:rPr>
      </w:pPr>
    </w:p>
    <w:p w14:paraId="2E693BC1" w14:textId="24BFA147" w:rsidR="00E05BA7" w:rsidRPr="00241567" w:rsidRDefault="00241567" w:rsidP="00241567">
      <w:pPr>
        <w:pStyle w:val="Sinespaciado"/>
        <w:jc w:val="both"/>
        <w:rPr>
          <w:rFonts w:ascii="Verdana" w:hAnsi="Verdana"/>
        </w:rPr>
      </w:pPr>
      <w:r>
        <w:rPr>
          <w:rFonts w:ascii="Verdana" w:hAnsi="Verdana"/>
        </w:rPr>
        <w:t>Bogotá, D.C.</w:t>
      </w:r>
    </w:p>
    <w:p w14:paraId="2228D795" w14:textId="77777777" w:rsidR="00E05BA7" w:rsidRPr="00241567" w:rsidRDefault="00E05BA7" w:rsidP="00241567">
      <w:pPr>
        <w:pStyle w:val="Sinespaciado"/>
        <w:jc w:val="both"/>
        <w:rPr>
          <w:rFonts w:ascii="Verdana" w:hAnsi="Verdana"/>
        </w:rPr>
      </w:pPr>
    </w:p>
    <w:p w14:paraId="2D9C04AB" w14:textId="17542157" w:rsidR="00E05BA7" w:rsidRPr="00241567" w:rsidRDefault="009E6DD1" w:rsidP="00241567">
      <w:pPr>
        <w:pStyle w:val="Sinespaciado"/>
        <w:jc w:val="both"/>
        <w:rPr>
          <w:rFonts w:ascii="Verdana" w:hAnsi="Verdana"/>
        </w:rPr>
      </w:pPr>
      <w:r w:rsidRPr="00241567">
        <w:rPr>
          <w:rFonts w:ascii="Verdana" w:hAnsi="Verdana"/>
          <w:b/>
          <w:bCs/>
        </w:rPr>
        <w:t>Tema</w:t>
      </w:r>
      <w:r w:rsidR="00241567">
        <w:rPr>
          <w:rFonts w:ascii="Verdana" w:hAnsi="Verdana"/>
          <w:b/>
          <w:bCs/>
        </w:rPr>
        <w:tab/>
      </w:r>
      <w:r w:rsidR="00241567">
        <w:rPr>
          <w:rFonts w:ascii="Verdana" w:hAnsi="Verdana"/>
          <w:b/>
          <w:bCs/>
        </w:rPr>
        <w:tab/>
      </w:r>
      <w:r w:rsidR="00241567">
        <w:rPr>
          <w:rFonts w:ascii="Verdana" w:hAnsi="Verdana"/>
          <w:b/>
          <w:bCs/>
        </w:rPr>
        <w:tab/>
      </w:r>
      <w:r w:rsidRPr="00241567">
        <w:rPr>
          <w:rFonts w:ascii="Verdana" w:hAnsi="Verdana"/>
        </w:rPr>
        <w:t>Impuesto sobre la renta y complementarios</w:t>
      </w:r>
    </w:p>
    <w:p w14:paraId="556BDE99" w14:textId="6532CA20" w:rsidR="00E05BA7" w:rsidRPr="00241567" w:rsidRDefault="009E6DD1" w:rsidP="00241567">
      <w:pPr>
        <w:pStyle w:val="Sinespaciado"/>
        <w:jc w:val="both"/>
        <w:rPr>
          <w:rFonts w:ascii="Verdana" w:hAnsi="Verdana"/>
        </w:rPr>
      </w:pPr>
      <w:r w:rsidRPr="00241567">
        <w:rPr>
          <w:rFonts w:ascii="Verdana" w:hAnsi="Verdana"/>
          <w:b/>
          <w:bCs/>
        </w:rPr>
        <w:t>Descriptores</w:t>
      </w:r>
      <w:r w:rsidR="00241567">
        <w:rPr>
          <w:rFonts w:ascii="Verdana" w:hAnsi="Verdana"/>
          <w:b/>
          <w:bCs/>
        </w:rPr>
        <w:tab/>
      </w:r>
      <w:r w:rsidR="00241567">
        <w:rPr>
          <w:rFonts w:ascii="Verdana" w:hAnsi="Verdana"/>
          <w:b/>
          <w:bCs/>
        </w:rPr>
        <w:tab/>
      </w:r>
      <w:r w:rsidRPr="00241567">
        <w:rPr>
          <w:rFonts w:ascii="Verdana" w:hAnsi="Verdana"/>
        </w:rPr>
        <w:t>Deducciones</w:t>
      </w:r>
    </w:p>
    <w:p w14:paraId="2647828D" w14:textId="390DF1A5" w:rsidR="00E05BA7" w:rsidRPr="00241567" w:rsidRDefault="009E6DD1" w:rsidP="00241567">
      <w:pPr>
        <w:pStyle w:val="Sinespaciado"/>
        <w:jc w:val="both"/>
        <w:rPr>
          <w:rFonts w:ascii="Verdana" w:hAnsi="Verdana"/>
        </w:rPr>
      </w:pPr>
      <w:r w:rsidRPr="00241567">
        <w:rPr>
          <w:rFonts w:ascii="Verdana" w:hAnsi="Verdana"/>
          <w:b/>
          <w:bCs/>
        </w:rPr>
        <w:t>Fuentes formales</w:t>
      </w:r>
      <w:r w:rsidR="00241567">
        <w:rPr>
          <w:rFonts w:ascii="Verdana" w:hAnsi="Verdana"/>
          <w:b/>
          <w:bCs/>
        </w:rPr>
        <w:tab/>
      </w:r>
      <w:r w:rsidRPr="00241567">
        <w:rPr>
          <w:rFonts w:ascii="Verdana" w:hAnsi="Verdana"/>
        </w:rPr>
        <w:t>Artículos 105, 107 y 107-1 del Estatuto Tributario</w:t>
      </w:r>
    </w:p>
    <w:p w14:paraId="20683570" w14:textId="77777777" w:rsidR="00E05BA7" w:rsidRPr="00241567" w:rsidRDefault="009E6DD1" w:rsidP="00241567">
      <w:pPr>
        <w:pStyle w:val="Sinespaciado"/>
        <w:ind w:left="2124" w:firstLine="708"/>
        <w:jc w:val="both"/>
        <w:rPr>
          <w:rFonts w:ascii="Verdana" w:hAnsi="Verdana"/>
        </w:rPr>
      </w:pPr>
      <w:r w:rsidRPr="00241567">
        <w:rPr>
          <w:rFonts w:ascii="Verdana" w:hAnsi="Verdana"/>
        </w:rPr>
        <w:t>Oficio No. 100202208-108 del 26 de marzo de 2021</w:t>
      </w:r>
    </w:p>
    <w:p w14:paraId="7034F954" w14:textId="77777777" w:rsidR="00241567" w:rsidRDefault="00241567" w:rsidP="00241567">
      <w:pPr>
        <w:pStyle w:val="Sinespaciado"/>
        <w:jc w:val="both"/>
        <w:rPr>
          <w:rFonts w:ascii="Verdana" w:hAnsi="Verdana"/>
        </w:rPr>
      </w:pPr>
    </w:p>
    <w:p w14:paraId="58D6D7D6" w14:textId="66FC1816" w:rsidR="00E05BA7" w:rsidRPr="00241567" w:rsidRDefault="009E6DD1" w:rsidP="00241567">
      <w:pPr>
        <w:pStyle w:val="Sinespaciado"/>
        <w:jc w:val="both"/>
        <w:rPr>
          <w:rFonts w:ascii="Verdana" w:hAnsi="Verdana"/>
        </w:rPr>
      </w:pPr>
      <w:r w:rsidRPr="00241567">
        <w:rPr>
          <w:rFonts w:ascii="Verdana" w:hAnsi="Verdana"/>
        </w:rPr>
        <w:t>Cordial saludo</w:t>
      </w:r>
    </w:p>
    <w:p w14:paraId="38F9C810" w14:textId="77777777" w:rsidR="00241567" w:rsidRDefault="00241567" w:rsidP="00241567">
      <w:pPr>
        <w:pStyle w:val="Sinespaciado"/>
        <w:jc w:val="both"/>
        <w:rPr>
          <w:rFonts w:ascii="Verdana" w:hAnsi="Verdana"/>
        </w:rPr>
      </w:pPr>
    </w:p>
    <w:p w14:paraId="452317E4" w14:textId="3B4DF697" w:rsidR="00E05BA7" w:rsidRPr="00241567" w:rsidRDefault="009E6DD1" w:rsidP="00241567">
      <w:pPr>
        <w:pStyle w:val="Sinespaciado"/>
        <w:jc w:val="both"/>
        <w:rPr>
          <w:rFonts w:ascii="Verdana" w:hAnsi="Verdana"/>
        </w:rPr>
      </w:pPr>
      <w:r w:rsidRPr="00241567">
        <w:rPr>
          <w:rFonts w:ascii="Verdana" w:hAnsi="Verdana"/>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6CC52F56" w14:textId="77777777" w:rsidR="00E10A42" w:rsidRDefault="00E10A42" w:rsidP="00241567">
      <w:pPr>
        <w:pStyle w:val="Sinespaciado"/>
        <w:jc w:val="both"/>
        <w:rPr>
          <w:rFonts w:ascii="Verdana" w:hAnsi="Verdana"/>
        </w:rPr>
      </w:pPr>
    </w:p>
    <w:p w14:paraId="6E5855ED" w14:textId="4A1A4490" w:rsidR="00E05BA7" w:rsidRPr="00241567" w:rsidRDefault="009E6DD1" w:rsidP="00241567">
      <w:pPr>
        <w:pStyle w:val="Sinespaciado"/>
        <w:jc w:val="both"/>
        <w:rPr>
          <w:rFonts w:ascii="Verdana" w:hAnsi="Verdana"/>
        </w:rPr>
      </w:pPr>
      <w:r w:rsidRPr="00241567">
        <w:rPr>
          <w:rFonts w:ascii="Verdana" w:hAnsi="Verdana"/>
        </w:rPr>
        <w:t xml:space="preserve">Mediante el radicado de la referencia, el peticionario pregunta por </w:t>
      </w:r>
      <w:r w:rsidRPr="009E3343">
        <w:rPr>
          <w:rFonts w:ascii="Verdana" w:hAnsi="Verdana"/>
          <w:highlight w:val="yellow"/>
        </w:rPr>
        <w:t>el estado actual de la doctrina relacionada con la posibilidad de deducir los pagos por concepto de indemnizaciones por despido sin justa causa. La inquietud se genera por lo señalado en los conceptos 094762 de 2000, 060950 de 2010, 001514 del 2012 y 000411 de 2014, respecto de los cuales pregunta si están vigentes o cómo se deben entender según lo analizado en el oficio 100202208-0550 de 2020.</w:t>
      </w:r>
    </w:p>
    <w:p w14:paraId="5554F567" w14:textId="77777777" w:rsidR="00E10A42" w:rsidRDefault="00E10A42" w:rsidP="00241567">
      <w:pPr>
        <w:pStyle w:val="Sinespaciado"/>
        <w:jc w:val="both"/>
        <w:rPr>
          <w:rFonts w:ascii="Verdana" w:hAnsi="Verdana"/>
        </w:rPr>
      </w:pPr>
    </w:p>
    <w:p w14:paraId="4DE5459B" w14:textId="63B5ED14" w:rsidR="00E05BA7" w:rsidRPr="00241567" w:rsidRDefault="009E6DD1" w:rsidP="00241567">
      <w:pPr>
        <w:pStyle w:val="Sinespaciado"/>
        <w:jc w:val="both"/>
        <w:rPr>
          <w:rFonts w:ascii="Verdana" w:hAnsi="Verdana"/>
        </w:rPr>
      </w:pPr>
      <w:r w:rsidRPr="00241567">
        <w:rPr>
          <w:rFonts w:ascii="Verdana" w:hAnsi="Verdana"/>
        </w:rPr>
        <w:t>Sobre el particular, las consideraciones de este Despacho son las siguientes:</w:t>
      </w:r>
    </w:p>
    <w:p w14:paraId="2983C644" w14:textId="77777777" w:rsidR="00E10A42" w:rsidRDefault="00E10A42" w:rsidP="00241567">
      <w:pPr>
        <w:pStyle w:val="Sinespaciado"/>
        <w:jc w:val="both"/>
        <w:rPr>
          <w:rFonts w:ascii="Verdana" w:hAnsi="Verdana"/>
        </w:rPr>
      </w:pPr>
    </w:p>
    <w:p w14:paraId="6FAC2359" w14:textId="375741CA" w:rsidR="00E05BA7" w:rsidRPr="00241567" w:rsidRDefault="009E6DD1" w:rsidP="00241567">
      <w:pPr>
        <w:pStyle w:val="Sinespaciado"/>
        <w:jc w:val="both"/>
        <w:rPr>
          <w:rFonts w:ascii="Verdana" w:hAnsi="Verdana"/>
        </w:rPr>
      </w:pPr>
      <w:r w:rsidRPr="00241567">
        <w:rPr>
          <w:rFonts w:ascii="Verdana" w:hAnsi="Verdana"/>
        </w:rPr>
        <w:t xml:space="preserve">El problema jurídico planteado por el peticionario fue recientemente analizado mediante </w:t>
      </w:r>
      <w:r w:rsidRPr="009E3343">
        <w:rPr>
          <w:rFonts w:ascii="Verdana" w:hAnsi="Verdana"/>
          <w:highlight w:val="yellow"/>
        </w:rPr>
        <w:t>oficio No. 100202208-108 del 26 de marzo de 2021</w:t>
      </w:r>
      <w:r w:rsidRPr="00241567">
        <w:rPr>
          <w:rFonts w:ascii="Verdana" w:hAnsi="Verdana"/>
        </w:rPr>
        <w:t xml:space="preserve">, del cual se anexa copia, doctrina que dentro de sus ejes temáticos precisó, a la luz de las modificaciones de la Ley 1819 de 2016, </w:t>
      </w:r>
      <w:r w:rsidRPr="00241567">
        <w:rPr>
          <w:rStyle w:val="Cuerpodeltexto210ptoCursiva"/>
          <w:rFonts w:ascii="Verdana" w:hAnsi="Verdana"/>
          <w:sz w:val="24"/>
          <w:szCs w:val="24"/>
        </w:rPr>
        <w:t>(i)</w:t>
      </w:r>
      <w:r w:rsidRPr="00241567">
        <w:rPr>
          <w:rFonts w:ascii="Verdana" w:hAnsi="Verdana"/>
        </w:rPr>
        <w:t xml:space="preserve"> las deducciones que comprenden lo dispuesto en el literal c) del numeral 2 del artículo 105 del Estatuto Tributario y el artículo 107-1 </w:t>
      </w:r>
      <w:r w:rsidRPr="00241567">
        <w:rPr>
          <w:rStyle w:val="Cuerpodeltexto210ptoCursiva"/>
          <w:rFonts w:ascii="Verdana" w:hAnsi="Verdana"/>
          <w:sz w:val="24"/>
          <w:szCs w:val="24"/>
        </w:rPr>
        <w:t>ibídem,</w:t>
      </w:r>
      <w:r w:rsidRPr="00241567">
        <w:rPr>
          <w:rFonts w:ascii="Verdana" w:hAnsi="Verdana"/>
        </w:rPr>
        <w:t xml:space="preserve"> así como </w:t>
      </w:r>
      <w:r w:rsidRPr="00241567">
        <w:rPr>
          <w:rStyle w:val="Cuerpodeltexto210ptoCursiva"/>
          <w:rFonts w:ascii="Verdana" w:hAnsi="Verdana"/>
          <w:sz w:val="24"/>
          <w:szCs w:val="24"/>
        </w:rPr>
        <w:t>(ii)</w:t>
      </w:r>
      <w:r w:rsidRPr="00241567">
        <w:rPr>
          <w:rFonts w:ascii="Verdana" w:hAnsi="Verdana"/>
        </w:rPr>
        <w:t xml:space="preserve"> los requisitos contenidos en el artículo 107 del Estatuto Tributario frente a las indemnizaciones laborales.</w:t>
      </w:r>
    </w:p>
    <w:p w14:paraId="749BD7F9" w14:textId="77777777" w:rsidR="00E10A42" w:rsidRDefault="00E10A42" w:rsidP="00241567">
      <w:pPr>
        <w:pStyle w:val="Sinespaciado"/>
        <w:jc w:val="both"/>
        <w:rPr>
          <w:rFonts w:ascii="Verdana" w:hAnsi="Verdana"/>
        </w:rPr>
      </w:pPr>
    </w:p>
    <w:p w14:paraId="39D4F795" w14:textId="3F59D70D" w:rsidR="00E05BA7" w:rsidRPr="00241567" w:rsidRDefault="009E6DD1" w:rsidP="00241567">
      <w:pPr>
        <w:pStyle w:val="Sinespaciado"/>
        <w:jc w:val="both"/>
        <w:rPr>
          <w:rFonts w:ascii="Verdana" w:hAnsi="Verdana"/>
        </w:rPr>
      </w:pPr>
      <w:r w:rsidRPr="00241567">
        <w:rPr>
          <w:rFonts w:ascii="Verdana" w:hAnsi="Verdana"/>
        </w:rPr>
        <w:t xml:space="preserve">Frente al primer punto, se concluyó que son solo los pagos salariales y prestacionales que provengan de </w:t>
      </w:r>
      <w:r w:rsidRPr="00241567">
        <w:rPr>
          <w:rStyle w:val="Cuerpodeltexto21"/>
          <w:rFonts w:ascii="Verdana" w:hAnsi="Verdana"/>
          <w:sz w:val="24"/>
          <w:szCs w:val="24"/>
        </w:rPr>
        <w:t>litigios laborales</w:t>
      </w:r>
      <w:r w:rsidRPr="00241567">
        <w:rPr>
          <w:rFonts w:ascii="Verdana" w:hAnsi="Verdana"/>
        </w:rPr>
        <w:t xml:space="preserve"> los que resultan </w:t>
      </w:r>
      <w:r w:rsidRPr="00241567">
        <w:rPr>
          <w:rFonts w:ascii="Verdana" w:hAnsi="Verdana"/>
        </w:rPr>
        <w:lastRenderedPageBreak/>
        <w:t>deducibles, en los términos señalados por el artículo 107-1 del Estatuto Tributario, para lo cual se debe hacer una interpretación armónica con el artículo 105 del Estatuto.</w:t>
      </w:r>
    </w:p>
    <w:p w14:paraId="796CA3D3" w14:textId="77777777" w:rsidR="00E10A42" w:rsidRDefault="00E10A42" w:rsidP="00241567">
      <w:pPr>
        <w:pStyle w:val="Sinespaciado"/>
        <w:jc w:val="both"/>
        <w:rPr>
          <w:rFonts w:ascii="Verdana" w:hAnsi="Verdana"/>
        </w:rPr>
      </w:pPr>
    </w:p>
    <w:p w14:paraId="3A2AD87C" w14:textId="787C3EF4" w:rsidR="00E05BA7" w:rsidRPr="00241567" w:rsidRDefault="009E6DD1" w:rsidP="00241567">
      <w:pPr>
        <w:pStyle w:val="Sinespaciado"/>
        <w:jc w:val="both"/>
        <w:rPr>
          <w:rFonts w:ascii="Verdana" w:hAnsi="Verdana"/>
        </w:rPr>
      </w:pPr>
      <w:r w:rsidRPr="009E3343">
        <w:rPr>
          <w:rFonts w:ascii="Verdana" w:hAnsi="Verdana"/>
          <w:highlight w:val="yellow"/>
        </w:rPr>
        <w:t xml:space="preserve">En relación con el segundo punto, se indicó que la deduciblidad </w:t>
      </w:r>
      <w:r w:rsidR="00E10A42" w:rsidRPr="009E3343">
        <w:rPr>
          <w:rFonts w:ascii="Verdana" w:hAnsi="Verdana"/>
          <w:highlight w:val="yellow"/>
        </w:rPr>
        <w:t xml:space="preserve">(sic) </w:t>
      </w:r>
      <w:r w:rsidRPr="009E3343">
        <w:rPr>
          <w:rFonts w:ascii="Verdana" w:hAnsi="Verdana"/>
          <w:highlight w:val="yellow"/>
        </w:rPr>
        <w:t xml:space="preserve">del pago de las </w:t>
      </w:r>
      <w:r w:rsidRPr="009E3343">
        <w:rPr>
          <w:rStyle w:val="Cuerpodeltexto21"/>
          <w:rFonts w:ascii="Verdana" w:hAnsi="Verdana"/>
          <w:sz w:val="24"/>
          <w:szCs w:val="24"/>
          <w:highlight w:val="yellow"/>
        </w:rPr>
        <w:t>indemnizaciones por despido con o sin justa causa</w:t>
      </w:r>
      <w:r w:rsidRPr="009E3343">
        <w:rPr>
          <w:rFonts w:ascii="Verdana" w:hAnsi="Verdana"/>
          <w:highlight w:val="yellow"/>
        </w:rPr>
        <w:t xml:space="preserve"> que provienen de una relación laboral o reglamentaria </w:t>
      </w:r>
      <w:r w:rsidRPr="009E3343">
        <w:rPr>
          <w:rStyle w:val="Cuerpodeltexto21"/>
          <w:rFonts w:ascii="Verdana" w:hAnsi="Verdana"/>
          <w:sz w:val="24"/>
          <w:szCs w:val="24"/>
          <w:highlight w:val="yellow"/>
        </w:rPr>
        <w:t>deberá considerar lo dispuesto en el artículo 107 del Estatuto Tributario, con el fin de analizar en cada caso si se cumplen o no los presupuestos allí consagrados</w:t>
      </w:r>
      <w:r w:rsidRPr="009E3343">
        <w:rPr>
          <w:rFonts w:ascii="Verdana" w:hAnsi="Verdana"/>
          <w:highlight w:val="yellow"/>
        </w:rPr>
        <w:t xml:space="preserve"> (i.e., </w:t>
      </w:r>
      <w:r w:rsidRPr="009E3343">
        <w:rPr>
          <w:rFonts w:ascii="Verdana" w:hAnsi="Verdana"/>
          <w:highlight w:val="green"/>
        </w:rPr>
        <w:t>requisitos de causalidad, necesidad y proporcionalidad a la luz de las reglas expuestas por la Sección Cuarta del Consejo de Estado mediante sentencia de unificación 21329 del 26 de noviembre de 2020)</w:t>
      </w:r>
      <w:r w:rsidRPr="009E3343">
        <w:rPr>
          <w:rFonts w:ascii="Verdana" w:hAnsi="Verdana"/>
          <w:highlight w:val="yellow"/>
        </w:rPr>
        <w:t>.</w:t>
      </w:r>
      <w:r w:rsidRPr="00241567">
        <w:rPr>
          <w:rFonts w:ascii="Verdana" w:hAnsi="Verdana"/>
        </w:rPr>
        <w:t xml:space="preserve"> Igualmente se indicó que, en cada caso, se debe analizar si se cumple con lo dispuesto en la normatividad laboral, los aportes a seguridad social y parafiscales (en lo que resulte aplicable).</w:t>
      </w:r>
    </w:p>
    <w:p w14:paraId="6B5A3FCD" w14:textId="77777777" w:rsidR="00E10A42" w:rsidRDefault="00E10A42" w:rsidP="00241567">
      <w:pPr>
        <w:pStyle w:val="Sinespaciado"/>
        <w:jc w:val="both"/>
        <w:rPr>
          <w:rFonts w:ascii="Verdana" w:hAnsi="Verdana"/>
        </w:rPr>
      </w:pPr>
    </w:p>
    <w:p w14:paraId="18BFE038" w14:textId="69FB915A" w:rsidR="00E05BA7" w:rsidRPr="00241567" w:rsidRDefault="009E6DD1" w:rsidP="00241567">
      <w:pPr>
        <w:pStyle w:val="Sinespaciado"/>
        <w:jc w:val="both"/>
        <w:rPr>
          <w:rFonts w:ascii="Verdana" w:hAnsi="Verdana"/>
        </w:rPr>
      </w:pPr>
      <w:r w:rsidRPr="00241567">
        <w:rPr>
          <w:rFonts w:ascii="Verdana" w:hAnsi="Verdana"/>
        </w:rPr>
        <w:t xml:space="preserve">Así pues, </w:t>
      </w:r>
      <w:r w:rsidRPr="009E3343">
        <w:rPr>
          <w:rFonts w:ascii="Verdana" w:hAnsi="Verdana"/>
          <w:highlight w:val="yellow"/>
        </w:rPr>
        <w:t xml:space="preserve">mediante este oficio se retiera </w:t>
      </w:r>
      <w:r w:rsidR="00E10A42" w:rsidRPr="009E3343">
        <w:rPr>
          <w:rFonts w:ascii="Verdana" w:hAnsi="Verdana"/>
          <w:highlight w:val="yellow"/>
        </w:rPr>
        <w:t xml:space="preserve">(sic) </w:t>
      </w:r>
      <w:r w:rsidRPr="009E3343">
        <w:rPr>
          <w:rFonts w:ascii="Verdana" w:hAnsi="Verdana"/>
          <w:highlight w:val="yellow"/>
        </w:rPr>
        <w:t>lo dispuesto en el oficio No. 100202208-108 del 26 de marzo de 2021, el cual constituye la interpretación oficial vigente aplicable a la inquietud presentada por el peticionario</w:t>
      </w:r>
      <w:bookmarkStart w:id="0" w:name="_GoBack"/>
      <w:bookmarkEnd w:id="0"/>
      <w:r w:rsidRPr="00241567">
        <w:rPr>
          <w:rFonts w:ascii="Verdana" w:hAnsi="Verdana"/>
        </w:rPr>
        <w:t>.</w:t>
      </w:r>
    </w:p>
    <w:p w14:paraId="7E1958A4" w14:textId="77777777" w:rsidR="00E10A42" w:rsidRDefault="00E10A42" w:rsidP="00241567">
      <w:pPr>
        <w:pStyle w:val="Sinespaciado"/>
        <w:jc w:val="both"/>
        <w:rPr>
          <w:rFonts w:ascii="Verdana" w:hAnsi="Verdana"/>
        </w:rPr>
      </w:pPr>
    </w:p>
    <w:p w14:paraId="14098FA6" w14:textId="3DCF0A58" w:rsidR="00E05BA7" w:rsidRPr="00241567" w:rsidRDefault="009E6DD1" w:rsidP="00241567">
      <w:pPr>
        <w:pStyle w:val="Sinespaciado"/>
        <w:jc w:val="both"/>
        <w:rPr>
          <w:rFonts w:ascii="Verdana" w:hAnsi="Verdana"/>
        </w:rPr>
      </w:pPr>
      <w:r w:rsidRPr="00241567">
        <w:rPr>
          <w:rFonts w:ascii="Verdana" w:hAnsi="Verdana"/>
        </w:rPr>
        <w:t>En los anteriores términos se resuelve su solicitud y finalmente le manifestamos que la Dirección de Impuestos y Aduanas Nacionales-DIAN-, con el fin de facilitar a los contribuyentes, usuarios y público en general el acceso directo a sus pronunciamientos doctrinarios, ha publicado en su página de internet</w:t>
      </w:r>
      <w:r w:rsidRPr="00E10A42">
        <w:rPr>
          <w:rFonts w:ascii="Verdana" w:hAnsi="Verdana"/>
        </w:rPr>
        <w:t xml:space="preserve"> </w:t>
      </w:r>
      <w:r w:rsidRPr="009E3343">
        <w:rPr>
          <w:rFonts w:ascii="Verdana" w:hAnsi="Verdana"/>
          <w:lang w:val="es-CO" w:eastAsia="en-US" w:bidi="en-US"/>
        </w:rPr>
        <w:t xml:space="preserve">www.dian.gov.co, </w:t>
      </w:r>
      <w:r w:rsidRPr="00241567">
        <w:rPr>
          <w:rFonts w:ascii="Verdana" w:hAnsi="Verdana"/>
        </w:rPr>
        <w:t xml:space="preserve">la base de conceptos en materia tributaria, aduanera y cambiaria expedidos desde el año 2001, la cual se puede ingresar por el icono de “Normatividad” </w:t>
      </w:r>
      <w:r w:rsidR="00E10A42">
        <w:rPr>
          <w:rFonts w:ascii="Verdana" w:hAnsi="Verdana"/>
        </w:rPr>
        <w:t>– “</w:t>
      </w:r>
      <w:r w:rsidRPr="00241567">
        <w:rPr>
          <w:rFonts w:ascii="Verdana" w:hAnsi="Verdana"/>
        </w:rPr>
        <w:t xml:space="preserve">técnica”-, dando click en el link </w:t>
      </w:r>
      <w:r w:rsidR="00E10A42">
        <w:rPr>
          <w:rFonts w:ascii="Verdana" w:hAnsi="Verdana"/>
        </w:rPr>
        <w:t>“</w:t>
      </w:r>
      <w:r w:rsidRPr="00241567">
        <w:rPr>
          <w:rFonts w:ascii="Verdana" w:hAnsi="Verdana"/>
        </w:rPr>
        <w:t>Doctrina Dirección de Gestión Jurídica”.</w:t>
      </w:r>
    </w:p>
    <w:p w14:paraId="6CCEBA66" w14:textId="77777777" w:rsidR="00E10A42" w:rsidRDefault="00E10A42" w:rsidP="00241567">
      <w:pPr>
        <w:pStyle w:val="Sinespaciado"/>
        <w:jc w:val="both"/>
        <w:rPr>
          <w:rFonts w:ascii="Verdana" w:hAnsi="Verdana"/>
        </w:rPr>
      </w:pPr>
    </w:p>
    <w:p w14:paraId="7928F811" w14:textId="77777777" w:rsidR="00E10A42" w:rsidRDefault="00E10A42" w:rsidP="00241567">
      <w:pPr>
        <w:pStyle w:val="Sinespaciado"/>
        <w:jc w:val="both"/>
        <w:rPr>
          <w:rFonts w:ascii="Verdana" w:hAnsi="Verdana"/>
        </w:rPr>
      </w:pPr>
    </w:p>
    <w:p w14:paraId="4DD89BD6" w14:textId="51D1D018" w:rsidR="00E05BA7" w:rsidRPr="00241567" w:rsidRDefault="009E6DD1" w:rsidP="00241567">
      <w:pPr>
        <w:pStyle w:val="Sinespaciado"/>
        <w:jc w:val="both"/>
        <w:rPr>
          <w:rFonts w:ascii="Verdana" w:hAnsi="Verdana"/>
        </w:rPr>
      </w:pPr>
      <w:r w:rsidRPr="00241567">
        <w:rPr>
          <w:rFonts w:ascii="Verdana" w:hAnsi="Verdana"/>
        </w:rPr>
        <w:t>Atentamente,</w:t>
      </w:r>
    </w:p>
    <w:p w14:paraId="296C2FEC" w14:textId="77777777" w:rsidR="00E10A42" w:rsidRDefault="00E10A42" w:rsidP="00241567">
      <w:pPr>
        <w:pStyle w:val="Sinespaciado"/>
        <w:jc w:val="both"/>
        <w:rPr>
          <w:rFonts w:ascii="Verdana" w:hAnsi="Verdana"/>
        </w:rPr>
      </w:pPr>
      <w:bookmarkStart w:id="1" w:name="bookmark0"/>
    </w:p>
    <w:p w14:paraId="19B9B7F9" w14:textId="77777777" w:rsidR="00E10A42" w:rsidRDefault="00E10A42" w:rsidP="00241567">
      <w:pPr>
        <w:pStyle w:val="Sinespaciado"/>
        <w:jc w:val="both"/>
        <w:rPr>
          <w:rFonts w:ascii="Verdana" w:hAnsi="Verdana"/>
        </w:rPr>
      </w:pPr>
    </w:p>
    <w:p w14:paraId="43150D56" w14:textId="77777777" w:rsidR="00E10A42" w:rsidRDefault="00E10A42" w:rsidP="00241567">
      <w:pPr>
        <w:pStyle w:val="Sinespaciado"/>
        <w:jc w:val="both"/>
        <w:rPr>
          <w:rFonts w:ascii="Verdana" w:hAnsi="Verdana"/>
        </w:rPr>
      </w:pPr>
    </w:p>
    <w:p w14:paraId="0FE136AC" w14:textId="04D38EAC" w:rsidR="00E05BA7" w:rsidRPr="00E10A42" w:rsidRDefault="009E6DD1" w:rsidP="00241567">
      <w:pPr>
        <w:pStyle w:val="Sinespaciado"/>
        <w:jc w:val="both"/>
        <w:rPr>
          <w:rFonts w:ascii="Verdana" w:hAnsi="Verdana"/>
          <w:b/>
          <w:bCs/>
        </w:rPr>
      </w:pPr>
      <w:r w:rsidRPr="00E10A42">
        <w:rPr>
          <w:rFonts w:ascii="Verdana" w:hAnsi="Verdana"/>
          <w:b/>
          <w:bCs/>
        </w:rPr>
        <w:t>NICOLÁS BERNAL ABELLA</w:t>
      </w:r>
      <w:bookmarkEnd w:id="1"/>
    </w:p>
    <w:p w14:paraId="4DFB0CDF" w14:textId="77777777" w:rsidR="00E05BA7" w:rsidRPr="00241567" w:rsidRDefault="009E6DD1" w:rsidP="00241567">
      <w:pPr>
        <w:pStyle w:val="Sinespaciado"/>
        <w:jc w:val="both"/>
        <w:rPr>
          <w:rFonts w:ascii="Verdana" w:hAnsi="Verdana"/>
        </w:rPr>
      </w:pPr>
      <w:r w:rsidRPr="00241567">
        <w:rPr>
          <w:rFonts w:ascii="Verdana" w:hAnsi="Verdana"/>
        </w:rPr>
        <w:t>Subdirector de Gestión Normativa y Doctrina (E)</w:t>
      </w:r>
    </w:p>
    <w:p w14:paraId="5661C44F" w14:textId="77777777" w:rsidR="00E10A42" w:rsidRDefault="009E6DD1" w:rsidP="00241567">
      <w:pPr>
        <w:pStyle w:val="Sinespaciado"/>
        <w:jc w:val="both"/>
        <w:rPr>
          <w:rFonts w:ascii="Verdana" w:hAnsi="Verdana"/>
        </w:rPr>
      </w:pPr>
      <w:r w:rsidRPr="00241567">
        <w:rPr>
          <w:rFonts w:ascii="Verdana" w:hAnsi="Verdana"/>
        </w:rPr>
        <w:t>Dirección de Gestión Jurídica</w:t>
      </w:r>
    </w:p>
    <w:p w14:paraId="54D131F0" w14:textId="77777777" w:rsidR="00E10A42" w:rsidRDefault="009E6DD1" w:rsidP="00241567">
      <w:pPr>
        <w:pStyle w:val="Sinespaciado"/>
        <w:jc w:val="both"/>
        <w:rPr>
          <w:rFonts w:ascii="Verdana" w:hAnsi="Verdana"/>
        </w:rPr>
      </w:pPr>
      <w:r w:rsidRPr="00241567">
        <w:rPr>
          <w:rFonts w:ascii="Verdana" w:hAnsi="Verdana"/>
        </w:rPr>
        <w:t>UAE- Dirección de Impuestos y Aduanas Nacionales</w:t>
      </w:r>
    </w:p>
    <w:p w14:paraId="7B328B6E" w14:textId="77777777" w:rsidR="00E10A42" w:rsidRDefault="009E6DD1" w:rsidP="00241567">
      <w:pPr>
        <w:pStyle w:val="Sinespaciado"/>
        <w:jc w:val="both"/>
        <w:rPr>
          <w:rFonts w:ascii="Verdana" w:hAnsi="Verdana"/>
        </w:rPr>
      </w:pPr>
      <w:r w:rsidRPr="00241567">
        <w:rPr>
          <w:rFonts w:ascii="Verdana" w:hAnsi="Verdana"/>
        </w:rPr>
        <w:t>Cra. 8 N° 6C-38, Piso 4, Edificio San Agustín</w:t>
      </w:r>
    </w:p>
    <w:p w14:paraId="33299D2E" w14:textId="53DA5D1A" w:rsidR="00E05BA7" w:rsidRPr="00241567" w:rsidRDefault="009E6DD1" w:rsidP="00241567">
      <w:pPr>
        <w:pStyle w:val="Sinespaciado"/>
        <w:jc w:val="both"/>
        <w:rPr>
          <w:rFonts w:ascii="Verdana" w:hAnsi="Verdana"/>
        </w:rPr>
      </w:pPr>
      <w:r w:rsidRPr="00241567">
        <w:rPr>
          <w:rFonts w:ascii="Verdana" w:hAnsi="Verdana"/>
        </w:rPr>
        <w:t>Bogotá D.C.</w:t>
      </w:r>
    </w:p>
    <w:p w14:paraId="1223D29A" w14:textId="77777777" w:rsidR="00E10A42" w:rsidRDefault="00E10A42" w:rsidP="00241567">
      <w:pPr>
        <w:pStyle w:val="Sinespaciado"/>
        <w:jc w:val="both"/>
        <w:rPr>
          <w:rFonts w:ascii="Verdana" w:hAnsi="Verdana"/>
        </w:rPr>
      </w:pPr>
    </w:p>
    <w:p w14:paraId="66708565" w14:textId="5D1BE4C2" w:rsidR="00E05BA7" w:rsidRPr="00E10A42" w:rsidRDefault="009E6DD1" w:rsidP="00241567">
      <w:pPr>
        <w:pStyle w:val="Sinespaciado"/>
        <w:jc w:val="both"/>
        <w:rPr>
          <w:rFonts w:ascii="Verdana" w:hAnsi="Verdana"/>
          <w:sz w:val="20"/>
          <w:szCs w:val="20"/>
        </w:rPr>
      </w:pPr>
      <w:r w:rsidRPr="00E10A42">
        <w:rPr>
          <w:rFonts w:ascii="Verdana" w:hAnsi="Verdana"/>
          <w:sz w:val="20"/>
          <w:szCs w:val="20"/>
        </w:rPr>
        <w:t>Se anexa copia del oficio No. 100202208-108 del 26 de marzo de 2021.</w:t>
      </w:r>
    </w:p>
    <w:sectPr w:rsidR="00E05BA7" w:rsidRPr="00E10A42" w:rsidSect="00241567">
      <w:type w:val="continuous"/>
      <w:pgSz w:w="12240" w:h="15840" w:code="1"/>
      <w:pgMar w:top="1701" w:right="1418" w:bottom="1701" w:left="1418"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C9371" w14:textId="77777777" w:rsidR="00123526" w:rsidRDefault="00123526">
      <w:r>
        <w:separator/>
      </w:r>
    </w:p>
  </w:endnote>
  <w:endnote w:type="continuationSeparator" w:id="0">
    <w:p w14:paraId="6D7A6158" w14:textId="77777777" w:rsidR="00123526" w:rsidRDefault="0012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71452" w14:textId="77777777" w:rsidR="00123526" w:rsidRDefault="00123526"/>
  </w:footnote>
  <w:footnote w:type="continuationSeparator" w:id="0">
    <w:p w14:paraId="66CF2B62" w14:textId="77777777" w:rsidR="00123526" w:rsidRDefault="0012352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BA7"/>
    <w:rsid w:val="00123526"/>
    <w:rsid w:val="00241567"/>
    <w:rsid w:val="00307CD6"/>
    <w:rsid w:val="009E3343"/>
    <w:rsid w:val="009E6DD1"/>
    <w:rsid w:val="00E05BA7"/>
    <w:rsid w:val="00E10A42"/>
    <w:rsid w:val="00F347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C204E"/>
  <w15:docId w15:val="{F69B9DB0-5D60-48FA-B547-9960087F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Arial" w:eastAsia="Arial" w:hAnsi="Arial" w:cs="Arial"/>
      <w:b w:val="0"/>
      <w:bCs w:val="0"/>
      <w:i w:val="0"/>
      <w:iCs w:val="0"/>
      <w:smallCaps w:val="0"/>
      <w:strike w:val="0"/>
      <w:sz w:val="19"/>
      <w:szCs w:val="19"/>
      <w:u w:val="none"/>
    </w:rPr>
  </w:style>
  <w:style w:type="character" w:customStyle="1" w:styleId="Cuerpodeltexto210ptoCursiva">
    <w:name w:val="Cuerpo del texto (2) + 10 pto;Cursiva"/>
    <w:basedOn w:val="Cuerpodeltexto2"/>
    <w:rPr>
      <w:rFonts w:ascii="Arial" w:eastAsia="Arial" w:hAnsi="Arial" w:cs="Arial"/>
      <w:b w:val="0"/>
      <w:bCs w:val="0"/>
      <w:i/>
      <w:iCs/>
      <w:smallCaps w:val="0"/>
      <w:strike w:val="0"/>
      <w:color w:val="000000"/>
      <w:spacing w:val="0"/>
      <w:w w:val="100"/>
      <w:position w:val="0"/>
      <w:sz w:val="20"/>
      <w:szCs w:val="20"/>
      <w:u w:val="none"/>
      <w:lang w:val="es-ES" w:eastAsia="es-ES" w:bidi="es-ES"/>
    </w:rPr>
  </w:style>
  <w:style w:type="character" w:customStyle="1" w:styleId="Cuerpodeltexto21">
    <w:name w:val="Cuerpo del texto (2)"/>
    <w:basedOn w:val="Cuerpodeltexto2"/>
    <w:rPr>
      <w:rFonts w:ascii="Arial" w:eastAsia="Arial" w:hAnsi="Arial" w:cs="Arial"/>
      <w:b w:val="0"/>
      <w:bCs w:val="0"/>
      <w:i w:val="0"/>
      <w:iCs w:val="0"/>
      <w:smallCaps w:val="0"/>
      <w:strike w:val="0"/>
      <w:color w:val="000000"/>
      <w:spacing w:val="0"/>
      <w:w w:val="100"/>
      <w:position w:val="0"/>
      <w:sz w:val="19"/>
      <w:szCs w:val="19"/>
      <w:u w:val="single"/>
      <w:lang w:val="es-ES" w:eastAsia="es-ES" w:bidi="es-ES"/>
    </w:rPr>
  </w:style>
  <w:style w:type="character" w:customStyle="1" w:styleId="Cuerpodeltexto210">
    <w:name w:val="Cuerpo del texto (21)_"/>
    <w:basedOn w:val="Fuentedeprrafopredeter"/>
    <w:link w:val="Cuerpodeltexto211"/>
    <w:rPr>
      <w:rFonts w:ascii="Arial" w:eastAsia="Arial" w:hAnsi="Arial" w:cs="Arial"/>
      <w:b w:val="0"/>
      <w:bCs w:val="0"/>
      <w:i w:val="0"/>
      <w:iCs w:val="0"/>
      <w:smallCaps w:val="0"/>
      <w:strike w:val="0"/>
      <w:sz w:val="10"/>
      <w:szCs w:val="10"/>
      <w:u w:val="none"/>
    </w:rPr>
  </w:style>
  <w:style w:type="character" w:customStyle="1" w:styleId="Cuerpodeltexto212">
    <w:name w:val="Cuerpo del texto (21)"/>
    <w:basedOn w:val="Cuerpodeltexto210"/>
    <w:rPr>
      <w:rFonts w:ascii="Arial" w:eastAsia="Arial" w:hAnsi="Arial" w:cs="Arial"/>
      <w:b w:val="0"/>
      <w:bCs w:val="0"/>
      <w:i w:val="0"/>
      <w:iCs w:val="0"/>
      <w:smallCaps w:val="0"/>
      <w:strike w:val="0"/>
      <w:color w:val="000000"/>
      <w:spacing w:val="0"/>
      <w:w w:val="100"/>
      <w:position w:val="0"/>
      <w:sz w:val="10"/>
      <w:szCs w:val="10"/>
      <w:u w:val="none"/>
      <w:lang w:val="es-ES" w:eastAsia="es-ES" w:bidi="es-ES"/>
    </w:rPr>
  </w:style>
  <w:style w:type="character" w:customStyle="1" w:styleId="Cuerpodeltexto2185pto">
    <w:name w:val="Cuerpo del texto (21) + 8;5 pto"/>
    <w:basedOn w:val="Cuerpodeltexto210"/>
    <w:rPr>
      <w:rFonts w:ascii="Arial" w:eastAsia="Arial" w:hAnsi="Arial" w:cs="Arial"/>
      <w:b w:val="0"/>
      <w:bCs w:val="0"/>
      <w:i w:val="0"/>
      <w:iCs w:val="0"/>
      <w:smallCaps w:val="0"/>
      <w:strike w:val="0"/>
      <w:color w:val="000000"/>
      <w:spacing w:val="0"/>
      <w:w w:val="100"/>
      <w:position w:val="0"/>
      <w:sz w:val="17"/>
      <w:szCs w:val="17"/>
      <w:u w:val="none"/>
      <w:lang w:val="es-ES" w:eastAsia="es-ES" w:bidi="es-ES"/>
    </w:rPr>
  </w:style>
  <w:style w:type="character" w:customStyle="1" w:styleId="Cuerpodeltexto24">
    <w:name w:val="Cuerpo del texto (24)_"/>
    <w:basedOn w:val="Fuentedeprrafopredeter"/>
    <w:link w:val="Cuerpodeltexto240"/>
    <w:rPr>
      <w:rFonts w:ascii="Arial" w:eastAsia="Arial" w:hAnsi="Arial" w:cs="Arial"/>
      <w:b w:val="0"/>
      <w:bCs w:val="0"/>
      <w:i w:val="0"/>
      <w:iCs w:val="0"/>
      <w:smallCaps w:val="0"/>
      <w:strike w:val="0"/>
      <w:sz w:val="17"/>
      <w:szCs w:val="17"/>
      <w:u w:val="none"/>
    </w:rPr>
  </w:style>
  <w:style w:type="character" w:customStyle="1" w:styleId="Cuerpodeltexto23">
    <w:name w:val="Cuerpo del texto (23)_"/>
    <w:basedOn w:val="Fuentedeprrafopredeter"/>
    <w:link w:val="Cuerpodeltexto230"/>
    <w:rPr>
      <w:rFonts w:ascii="Arial" w:eastAsia="Arial" w:hAnsi="Arial" w:cs="Arial"/>
      <w:b/>
      <w:bCs/>
      <w:i w:val="0"/>
      <w:iCs w:val="0"/>
      <w:smallCaps w:val="0"/>
      <w:strike w:val="0"/>
      <w:sz w:val="9"/>
      <w:szCs w:val="9"/>
      <w:u w:val="none"/>
    </w:rPr>
  </w:style>
  <w:style w:type="character" w:customStyle="1" w:styleId="Ttulo13">
    <w:name w:val="Título #1 (3)_"/>
    <w:basedOn w:val="Fuentedeprrafopredeter"/>
    <w:link w:val="Ttulo130"/>
    <w:rPr>
      <w:rFonts w:ascii="Arial" w:eastAsia="Arial" w:hAnsi="Arial" w:cs="Arial"/>
      <w:b w:val="0"/>
      <w:bCs w:val="0"/>
      <w:i w:val="0"/>
      <w:iCs w:val="0"/>
      <w:smallCaps w:val="0"/>
      <w:strike w:val="0"/>
      <w:sz w:val="19"/>
      <w:szCs w:val="19"/>
      <w:u w:val="none"/>
    </w:rPr>
  </w:style>
  <w:style w:type="paragraph" w:customStyle="1" w:styleId="Cuerpodeltexto20">
    <w:name w:val="Cuerpo del texto (2)"/>
    <w:basedOn w:val="Normal"/>
    <w:link w:val="Cuerpodeltexto2"/>
    <w:pPr>
      <w:shd w:val="clear" w:color="auto" w:fill="FFFFFF"/>
      <w:spacing w:after="420" w:line="0" w:lineRule="atLeast"/>
      <w:ind w:hanging="600"/>
      <w:jc w:val="both"/>
    </w:pPr>
    <w:rPr>
      <w:rFonts w:ascii="Arial" w:eastAsia="Arial" w:hAnsi="Arial" w:cs="Arial"/>
      <w:sz w:val="19"/>
      <w:szCs w:val="19"/>
    </w:rPr>
  </w:style>
  <w:style w:type="paragraph" w:customStyle="1" w:styleId="Cuerpodeltexto211">
    <w:name w:val="Cuerpo del texto (21)"/>
    <w:basedOn w:val="Normal"/>
    <w:link w:val="Cuerpodeltexto210"/>
    <w:pPr>
      <w:shd w:val="clear" w:color="auto" w:fill="FFFFFF"/>
      <w:spacing w:after="60" w:line="0" w:lineRule="atLeast"/>
      <w:ind w:firstLine="1480"/>
    </w:pPr>
    <w:rPr>
      <w:rFonts w:ascii="Arial" w:eastAsia="Arial" w:hAnsi="Arial" w:cs="Arial"/>
      <w:sz w:val="10"/>
      <w:szCs w:val="10"/>
    </w:rPr>
  </w:style>
  <w:style w:type="paragraph" w:customStyle="1" w:styleId="Cuerpodeltexto240">
    <w:name w:val="Cuerpo del texto (24)"/>
    <w:basedOn w:val="Normal"/>
    <w:link w:val="Cuerpodeltexto24"/>
    <w:pPr>
      <w:shd w:val="clear" w:color="auto" w:fill="FFFFFF"/>
      <w:spacing w:before="180" w:line="0" w:lineRule="atLeast"/>
      <w:jc w:val="both"/>
    </w:pPr>
    <w:rPr>
      <w:rFonts w:ascii="Arial" w:eastAsia="Arial" w:hAnsi="Arial" w:cs="Arial"/>
      <w:sz w:val="17"/>
      <w:szCs w:val="17"/>
    </w:rPr>
  </w:style>
  <w:style w:type="paragraph" w:customStyle="1" w:styleId="Cuerpodeltexto230">
    <w:name w:val="Cuerpo del texto (23)"/>
    <w:basedOn w:val="Normal"/>
    <w:link w:val="Cuerpodeltexto23"/>
    <w:pPr>
      <w:shd w:val="clear" w:color="auto" w:fill="FFFFFF"/>
      <w:spacing w:line="144" w:lineRule="exact"/>
      <w:jc w:val="both"/>
    </w:pPr>
    <w:rPr>
      <w:rFonts w:ascii="Arial" w:eastAsia="Arial" w:hAnsi="Arial" w:cs="Arial"/>
      <w:b/>
      <w:bCs/>
      <w:sz w:val="9"/>
      <w:szCs w:val="9"/>
    </w:rPr>
  </w:style>
  <w:style w:type="paragraph" w:customStyle="1" w:styleId="Ttulo130">
    <w:name w:val="Título #1 (3)"/>
    <w:basedOn w:val="Normal"/>
    <w:link w:val="Ttulo13"/>
    <w:pPr>
      <w:shd w:val="clear" w:color="auto" w:fill="FFFFFF"/>
      <w:spacing w:before="180" w:line="250" w:lineRule="exact"/>
      <w:jc w:val="both"/>
      <w:outlineLvl w:val="0"/>
    </w:pPr>
    <w:rPr>
      <w:rFonts w:ascii="Arial" w:eastAsia="Arial" w:hAnsi="Arial" w:cs="Arial"/>
      <w:sz w:val="19"/>
      <w:szCs w:val="19"/>
    </w:rPr>
  </w:style>
  <w:style w:type="paragraph" w:styleId="Sinespaciado">
    <w:name w:val="No Spacing"/>
    <w:uiPriority w:val="1"/>
    <w:qFormat/>
    <w:rsid w:val="0024156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630</Words>
  <Characters>3471</Characters>
  <Application>Microsoft Office Word</Application>
  <DocSecurity>0</DocSecurity>
  <Lines>28</Lines>
  <Paragraphs>8</Paragraphs>
  <ScaleCrop>false</ScaleCrop>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RMARTINQ</dc:creator>
  <cp:keywords/>
  <cp:lastModifiedBy>Microsoft Office User</cp:lastModifiedBy>
  <cp:revision>2</cp:revision>
  <dcterms:created xsi:type="dcterms:W3CDTF">2021-08-18T23:22:00Z</dcterms:created>
  <dcterms:modified xsi:type="dcterms:W3CDTF">2021-08-18T23:22:00Z</dcterms:modified>
</cp:coreProperties>
</file>