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7C08" w14:textId="462D79AA" w:rsidR="00F30F25" w:rsidRPr="00F30F25" w:rsidRDefault="00F30F25" w:rsidP="00F30F25">
      <w:pPr>
        <w:pStyle w:val="Sinespaciado"/>
        <w:jc w:val="both"/>
        <w:rPr>
          <w:rFonts w:ascii="Verdana" w:hAnsi="Verdana"/>
          <w:b/>
          <w:bCs/>
        </w:rPr>
      </w:pPr>
      <w:bookmarkStart w:id="0" w:name="_GoBack"/>
      <w:bookmarkEnd w:id="0"/>
      <w:r w:rsidRPr="00F30F25">
        <w:rPr>
          <w:rFonts w:ascii="Verdana" w:hAnsi="Verdana"/>
          <w:b/>
          <w:bCs/>
        </w:rPr>
        <w:t>CONCEPTO 398 DEL 3 DE NOVIEMBRE DE 2021</w:t>
      </w:r>
    </w:p>
    <w:p w14:paraId="59A146DF" w14:textId="481E1F3F" w:rsidR="00F30F25" w:rsidRDefault="00F30F25" w:rsidP="00F30F25">
      <w:pPr>
        <w:pStyle w:val="Sinespaciado"/>
        <w:jc w:val="both"/>
        <w:rPr>
          <w:rFonts w:ascii="Verdana" w:hAnsi="Verdana"/>
          <w:b/>
          <w:bCs/>
        </w:rPr>
      </w:pPr>
      <w:r w:rsidRPr="00F30F25">
        <w:rPr>
          <w:rFonts w:ascii="Verdana" w:hAnsi="Verdana"/>
          <w:b/>
          <w:bCs/>
        </w:rPr>
        <w:t>DIRECCIÓN DE IMPUESTOS Y ADUANAS NACIONALES</w:t>
      </w:r>
    </w:p>
    <w:p w14:paraId="46A18290" w14:textId="3D1A9D83" w:rsidR="00F30F25" w:rsidRDefault="00F30F25" w:rsidP="00F30F25">
      <w:pPr>
        <w:pStyle w:val="Sinespaciado"/>
        <w:jc w:val="both"/>
        <w:rPr>
          <w:rFonts w:ascii="Verdana" w:hAnsi="Verdana"/>
          <w:b/>
          <w:bCs/>
        </w:rPr>
      </w:pPr>
    </w:p>
    <w:p w14:paraId="4EC432CD" w14:textId="77777777" w:rsidR="00F30F25" w:rsidRDefault="00F30F25" w:rsidP="00F30F25">
      <w:pPr>
        <w:pStyle w:val="Sinespaciado"/>
        <w:jc w:val="both"/>
        <w:rPr>
          <w:rFonts w:ascii="Verdana" w:hAnsi="Verdana"/>
        </w:rPr>
      </w:pPr>
      <w:r w:rsidRPr="00F30F25">
        <w:rPr>
          <w:rFonts w:ascii="Verdana" w:hAnsi="Verdana"/>
        </w:rPr>
        <w:t>Bogotá, D.C.</w:t>
      </w:r>
    </w:p>
    <w:p w14:paraId="6E99F13C" w14:textId="77777777" w:rsidR="00F30F25" w:rsidRDefault="00F30F25" w:rsidP="00F30F25">
      <w:pPr>
        <w:pStyle w:val="Sinespaciado"/>
        <w:jc w:val="both"/>
        <w:rPr>
          <w:rFonts w:ascii="Verdana" w:hAnsi="Verdana"/>
        </w:rPr>
      </w:pPr>
    </w:p>
    <w:p w14:paraId="326F4061" w14:textId="1312FB3E" w:rsidR="0046394A" w:rsidRPr="00F30F25" w:rsidRDefault="00F30F25" w:rsidP="00F30F25">
      <w:pPr>
        <w:pStyle w:val="Sinespaciado"/>
        <w:jc w:val="both"/>
        <w:rPr>
          <w:rFonts w:ascii="Verdana" w:hAnsi="Verdana"/>
        </w:rPr>
      </w:pPr>
      <w:r w:rsidRPr="00F30F25">
        <w:rPr>
          <w:rFonts w:ascii="Verdana" w:hAnsi="Verdana"/>
          <w:b/>
          <w:bCs/>
        </w:rPr>
        <w:t>Tema:</w:t>
      </w:r>
      <w:r>
        <w:rPr>
          <w:rFonts w:ascii="Verdana" w:hAnsi="Verdana"/>
          <w:b/>
          <w:bCs/>
        </w:rPr>
        <w:tab/>
      </w:r>
      <w:r>
        <w:rPr>
          <w:rFonts w:ascii="Verdana" w:hAnsi="Verdana"/>
          <w:b/>
          <w:bCs/>
        </w:rPr>
        <w:tab/>
      </w:r>
      <w:r>
        <w:rPr>
          <w:rFonts w:ascii="Verdana" w:hAnsi="Verdana"/>
          <w:b/>
          <w:bCs/>
        </w:rPr>
        <w:tab/>
      </w:r>
      <w:r w:rsidRPr="00F30F25">
        <w:rPr>
          <w:rFonts w:ascii="Verdana" w:hAnsi="Verdana"/>
        </w:rPr>
        <w:t>Procedimiento tributario</w:t>
      </w:r>
    </w:p>
    <w:p w14:paraId="7105A433" w14:textId="74EE7C44" w:rsidR="0046394A" w:rsidRPr="00F30F25" w:rsidRDefault="00F30F25" w:rsidP="00F30F25">
      <w:pPr>
        <w:pStyle w:val="Sinespaciado"/>
        <w:ind w:left="2832" w:hanging="2832"/>
        <w:jc w:val="both"/>
        <w:rPr>
          <w:rFonts w:ascii="Verdana" w:hAnsi="Verdana"/>
        </w:rPr>
      </w:pPr>
      <w:r w:rsidRPr="00F30F25">
        <w:rPr>
          <w:rFonts w:ascii="Verdana" w:hAnsi="Verdana"/>
          <w:b/>
          <w:bCs/>
        </w:rPr>
        <w:t>Descriptores:</w:t>
      </w:r>
      <w:r>
        <w:rPr>
          <w:rFonts w:ascii="Verdana" w:hAnsi="Verdana"/>
          <w:b/>
          <w:bCs/>
        </w:rPr>
        <w:tab/>
      </w:r>
      <w:r w:rsidRPr="00F30F25">
        <w:rPr>
          <w:rFonts w:ascii="Verdana" w:hAnsi="Verdana"/>
        </w:rPr>
        <w:t>Declaración por cambio de titular de la inversión extranjera</w:t>
      </w:r>
    </w:p>
    <w:p w14:paraId="00792600" w14:textId="4884823B" w:rsidR="0046394A" w:rsidRPr="00F30F25" w:rsidRDefault="00F30F25" w:rsidP="00F30F25">
      <w:pPr>
        <w:pStyle w:val="Sinespaciado"/>
        <w:jc w:val="both"/>
        <w:rPr>
          <w:rFonts w:ascii="Verdana" w:hAnsi="Verdana"/>
        </w:rPr>
      </w:pPr>
      <w:r w:rsidRPr="00F30F25">
        <w:rPr>
          <w:rFonts w:ascii="Verdana" w:hAnsi="Verdana"/>
          <w:b/>
          <w:bCs/>
        </w:rPr>
        <w:t>Fuentes formales:</w:t>
      </w:r>
      <w:r>
        <w:rPr>
          <w:rFonts w:ascii="Verdana" w:hAnsi="Verdana"/>
          <w:b/>
          <w:bCs/>
        </w:rPr>
        <w:tab/>
      </w:r>
      <w:r w:rsidRPr="00F30F25">
        <w:rPr>
          <w:rFonts w:ascii="Verdana" w:hAnsi="Verdana"/>
        </w:rPr>
        <w:t>Artículos 90-3, 326 y 327 del Estatuto Tributario</w:t>
      </w:r>
    </w:p>
    <w:p w14:paraId="6EE90F94" w14:textId="77777777" w:rsidR="00F30F25" w:rsidRDefault="00F30F25" w:rsidP="00F30F25">
      <w:pPr>
        <w:pStyle w:val="Sinespaciado"/>
        <w:ind w:left="2832"/>
        <w:jc w:val="both"/>
        <w:rPr>
          <w:rFonts w:ascii="Verdana" w:hAnsi="Verdana"/>
        </w:rPr>
      </w:pPr>
      <w:r w:rsidRPr="00F30F25">
        <w:rPr>
          <w:rFonts w:ascii="Verdana" w:hAnsi="Verdana"/>
        </w:rPr>
        <w:t>Artículo 1.6.1.13.2.19. del Decreto 1625 de 2016</w:t>
      </w:r>
    </w:p>
    <w:p w14:paraId="42B39003" w14:textId="7E079307" w:rsidR="0046394A" w:rsidRPr="00F30F25" w:rsidRDefault="00F30F25" w:rsidP="00F30F25">
      <w:pPr>
        <w:pStyle w:val="Sinespaciado"/>
        <w:ind w:left="2832"/>
        <w:jc w:val="both"/>
        <w:rPr>
          <w:rFonts w:ascii="Verdana" w:hAnsi="Verdana"/>
        </w:rPr>
      </w:pPr>
      <w:r w:rsidRPr="00F30F25">
        <w:rPr>
          <w:rFonts w:ascii="Verdana" w:hAnsi="Verdana"/>
        </w:rPr>
        <w:t>Resolución No. 000018 del 17 de febrero de 2021</w:t>
      </w:r>
    </w:p>
    <w:p w14:paraId="3D8AF7E0" w14:textId="77777777" w:rsidR="00F30F25" w:rsidRDefault="00F30F25" w:rsidP="00F30F25">
      <w:pPr>
        <w:pStyle w:val="Sinespaciado"/>
        <w:jc w:val="both"/>
        <w:rPr>
          <w:rFonts w:ascii="Verdana" w:hAnsi="Verdana"/>
        </w:rPr>
      </w:pPr>
    </w:p>
    <w:p w14:paraId="7DA89DE7" w14:textId="03A073E6" w:rsidR="0046394A" w:rsidRPr="00F30F25" w:rsidRDefault="00F30F25" w:rsidP="00F30F25">
      <w:pPr>
        <w:pStyle w:val="Sinespaciado"/>
        <w:jc w:val="both"/>
        <w:rPr>
          <w:rFonts w:ascii="Verdana" w:hAnsi="Verdana"/>
        </w:rPr>
      </w:pPr>
      <w:r w:rsidRPr="00F30F25">
        <w:rPr>
          <w:rFonts w:ascii="Verdana" w:hAnsi="Verdana"/>
        </w:rPr>
        <w:t>Cordial saludo,</w:t>
      </w:r>
    </w:p>
    <w:p w14:paraId="1208C0A1" w14:textId="77777777" w:rsidR="00F30F25" w:rsidRDefault="00F30F25" w:rsidP="00F30F25">
      <w:pPr>
        <w:pStyle w:val="Sinespaciado"/>
        <w:jc w:val="both"/>
        <w:rPr>
          <w:rFonts w:ascii="Verdana" w:hAnsi="Verdana"/>
        </w:rPr>
      </w:pPr>
    </w:p>
    <w:p w14:paraId="48BE91EA" w14:textId="1754247E" w:rsidR="0046394A" w:rsidRPr="00F30F25" w:rsidRDefault="00F30F25" w:rsidP="00F30F25">
      <w:pPr>
        <w:pStyle w:val="Sinespaciado"/>
        <w:jc w:val="both"/>
        <w:rPr>
          <w:rFonts w:ascii="Verdana" w:hAnsi="Verdana"/>
        </w:rPr>
      </w:pPr>
      <w:r w:rsidRPr="00F30F25">
        <w:rPr>
          <w:rFonts w:ascii="Verdana" w:hAnsi="Verdana"/>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026BE03" w14:textId="77777777" w:rsidR="00F30F25" w:rsidRDefault="00F30F25" w:rsidP="00F30F25">
      <w:pPr>
        <w:pStyle w:val="Sinespaciado"/>
        <w:jc w:val="both"/>
        <w:rPr>
          <w:rFonts w:ascii="Verdana" w:hAnsi="Verdana"/>
        </w:rPr>
      </w:pPr>
    </w:p>
    <w:p w14:paraId="51F0A688" w14:textId="74D2A592" w:rsidR="0046394A" w:rsidRPr="00F30F25" w:rsidRDefault="00F30F25" w:rsidP="00F30F25">
      <w:pPr>
        <w:pStyle w:val="Sinespaciado"/>
        <w:jc w:val="both"/>
        <w:rPr>
          <w:rFonts w:ascii="Verdana" w:hAnsi="Verdana"/>
          <w:b/>
          <w:bCs/>
        </w:rPr>
      </w:pPr>
      <w:r w:rsidRPr="00F30F25">
        <w:rPr>
          <w:rFonts w:ascii="Verdana" w:hAnsi="Verdana"/>
        </w:rPr>
        <w:t xml:space="preserve">Mediante el radicado de la referencia, la peticionaria consulta si es procedente incluir un descuento tributario en el Formulario 150 </w:t>
      </w:r>
      <w:r w:rsidRPr="00F30F25">
        <w:rPr>
          <w:rStyle w:val="Cuerpodeltexto7010ptoCursiva"/>
          <w:rFonts w:ascii="Verdana" w:hAnsi="Verdana"/>
          <w:b w:val="0"/>
          <w:bCs w:val="0"/>
          <w:sz w:val="24"/>
          <w:szCs w:val="24"/>
        </w:rPr>
        <w:t>“Declaración de Renta por Cambio de la Titularidad de la Inversión Extranjera Directa y Enajenaciones Indirectas”.</w:t>
      </w:r>
    </w:p>
    <w:p w14:paraId="318896F2" w14:textId="77777777" w:rsidR="00F30F25" w:rsidRDefault="00F30F25" w:rsidP="00F30F25">
      <w:pPr>
        <w:pStyle w:val="Sinespaciado"/>
        <w:jc w:val="both"/>
        <w:rPr>
          <w:rFonts w:ascii="Verdana" w:hAnsi="Verdana"/>
        </w:rPr>
      </w:pPr>
    </w:p>
    <w:p w14:paraId="18319829" w14:textId="7954492F" w:rsidR="0046394A" w:rsidRPr="00F30F25" w:rsidRDefault="00F30F25" w:rsidP="00F30F25">
      <w:pPr>
        <w:pStyle w:val="Sinespaciado"/>
        <w:jc w:val="both"/>
        <w:rPr>
          <w:rFonts w:ascii="Verdana" w:hAnsi="Verdana"/>
        </w:rPr>
      </w:pPr>
      <w:r w:rsidRPr="00F30F25">
        <w:rPr>
          <w:rFonts w:ascii="Verdana" w:hAnsi="Verdana"/>
        </w:rPr>
        <w:t>Sobre el particular, las consideraciones generales de este Despacho son las siguientes, no sin antes reiterar que no le corresponde pronunciarse sobre situaciones de carácter particular ni prestar asesoría específica, por lo que corresponderá a la peticionaria definir, en su caso particular, las obligaciones tributarias sustanciales y formales a las que haya lugar.</w:t>
      </w:r>
    </w:p>
    <w:p w14:paraId="6B060FE3" w14:textId="77777777" w:rsidR="00F30F25" w:rsidRDefault="00F30F25" w:rsidP="00F30F25">
      <w:pPr>
        <w:pStyle w:val="Sinespaciado"/>
        <w:jc w:val="both"/>
        <w:rPr>
          <w:rFonts w:ascii="Verdana" w:hAnsi="Verdana"/>
        </w:rPr>
      </w:pPr>
    </w:p>
    <w:p w14:paraId="41A70DD3" w14:textId="601399F4" w:rsidR="0046394A" w:rsidRPr="00F30F25" w:rsidRDefault="00F30F25" w:rsidP="00F30F25">
      <w:pPr>
        <w:pStyle w:val="Sinespaciado"/>
        <w:jc w:val="both"/>
        <w:rPr>
          <w:rFonts w:ascii="Verdana" w:hAnsi="Verdana"/>
        </w:rPr>
      </w:pPr>
      <w:r w:rsidRPr="00F30F25">
        <w:rPr>
          <w:rFonts w:ascii="Verdana" w:hAnsi="Verdana"/>
        </w:rPr>
        <w:t>El artículo 1.6.1.13.2.19 del Decreto 1625 de 2016 señala:</w:t>
      </w:r>
    </w:p>
    <w:p w14:paraId="25298995" w14:textId="77777777" w:rsidR="00F30F25" w:rsidRDefault="00F30F25" w:rsidP="00F30F25">
      <w:pPr>
        <w:pStyle w:val="Sinespaciado"/>
        <w:jc w:val="both"/>
        <w:rPr>
          <w:rFonts w:ascii="Verdana" w:hAnsi="Verdana"/>
        </w:rPr>
      </w:pPr>
    </w:p>
    <w:p w14:paraId="259D7A2F" w14:textId="75ECFF06" w:rsidR="0046394A" w:rsidRPr="00F30F25" w:rsidRDefault="00F30F25" w:rsidP="00F30F25">
      <w:pPr>
        <w:pStyle w:val="Sinespaciado"/>
        <w:ind w:left="708"/>
        <w:jc w:val="both"/>
        <w:rPr>
          <w:rFonts w:ascii="Verdana" w:hAnsi="Verdana"/>
          <w:i/>
          <w:iCs/>
          <w:sz w:val="22"/>
          <w:szCs w:val="22"/>
        </w:rPr>
      </w:pPr>
      <w:r w:rsidRPr="00F30F25">
        <w:rPr>
          <w:rFonts w:ascii="Verdana" w:hAnsi="Verdana"/>
          <w:sz w:val="22"/>
          <w:szCs w:val="22"/>
        </w:rPr>
        <w:t>“</w:t>
      </w:r>
      <w:r w:rsidRPr="00F30F25">
        <w:rPr>
          <w:rStyle w:val="Cuerpodeltexto1211pto"/>
          <w:rFonts w:ascii="Verdana" w:hAnsi="Verdana"/>
        </w:rPr>
        <w:t>ARTÍCULO 1.6.1.13.2.19. Declaración por cambio de titular de la inversión extranjera</w:t>
      </w:r>
      <w:r w:rsidRPr="00F30F25">
        <w:rPr>
          <w:rFonts w:ascii="Verdana" w:hAnsi="Verdana"/>
          <w:sz w:val="22"/>
          <w:szCs w:val="22"/>
        </w:rPr>
        <w:t xml:space="preserve">. </w:t>
      </w:r>
      <w:r w:rsidRPr="00F30F25">
        <w:rPr>
          <w:rStyle w:val="Cuerpodeltexto1211pto"/>
          <w:rFonts w:ascii="Verdana" w:hAnsi="Verdana"/>
        </w:rPr>
        <w:t xml:space="preserve">E[ </w:t>
      </w:r>
      <w:r w:rsidRPr="00F30F25">
        <w:rPr>
          <w:rStyle w:val="Cuerpodeltexto1211pto0"/>
          <w:rFonts w:ascii="Verdana" w:hAnsi="Verdana"/>
        </w:rPr>
        <w:t>titular de la inversión extranjera que realice la transacción o venta de su inversión</w:t>
      </w:r>
      <w:r w:rsidRPr="00F30F25">
        <w:rPr>
          <w:rStyle w:val="Cuerpodeltexto121"/>
          <w:rFonts w:ascii="Verdana" w:hAnsi="Verdana"/>
          <w:sz w:val="22"/>
          <w:szCs w:val="22"/>
          <w:u w:val="none"/>
        </w:rPr>
        <w:t>,</w:t>
      </w:r>
      <w:r w:rsidRPr="00F30F25">
        <w:rPr>
          <w:rFonts w:ascii="Verdana" w:hAnsi="Verdana"/>
          <w:sz w:val="22"/>
          <w:szCs w:val="22"/>
        </w:rPr>
        <w:t xml:space="preserve"> </w:t>
      </w:r>
      <w:r w:rsidRPr="00F30F25">
        <w:rPr>
          <w:rFonts w:ascii="Verdana" w:hAnsi="Verdana"/>
          <w:i/>
          <w:iCs/>
          <w:sz w:val="22"/>
          <w:szCs w:val="22"/>
        </w:rPr>
        <w:t xml:space="preserve">deberá presentar, dentro del mes siguiente a la fecha de la transacción o venta, </w:t>
      </w:r>
      <w:r>
        <w:rPr>
          <w:rFonts w:ascii="Verdana" w:hAnsi="Verdana"/>
          <w:i/>
          <w:iCs/>
          <w:sz w:val="22"/>
          <w:szCs w:val="22"/>
        </w:rPr>
        <w:t>“</w:t>
      </w:r>
      <w:r w:rsidRPr="00F30F25">
        <w:rPr>
          <w:rFonts w:ascii="Verdana" w:hAnsi="Verdana"/>
          <w:i/>
          <w:iCs/>
          <w:sz w:val="22"/>
          <w:szCs w:val="22"/>
        </w:rPr>
        <w:t>Declaración de renta por cambio de titularidad de la inversión extranjera</w:t>
      </w:r>
      <w:r>
        <w:rPr>
          <w:rFonts w:ascii="Verdana" w:hAnsi="Verdana"/>
          <w:i/>
          <w:iCs/>
          <w:sz w:val="22"/>
          <w:szCs w:val="22"/>
        </w:rPr>
        <w:t>”</w:t>
      </w:r>
      <w:r w:rsidRPr="00F30F25">
        <w:rPr>
          <w:rFonts w:ascii="Verdana" w:hAnsi="Verdana"/>
          <w:i/>
          <w:iCs/>
          <w:sz w:val="22"/>
          <w:szCs w:val="22"/>
        </w:rPr>
        <w:t xml:space="preserve">, con la liquidación y pago del impuesto que se genere por la respectiva operación, utilizando el Formulario que para el efecto prescriba la Unidad Administrativa Especial Dirección de </w:t>
      </w:r>
      <w:r w:rsidRPr="00F30F25">
        <w:rPr>
          <w:rFonts w:ascii="Verdana" w:hAnsi="Verdana"/>
          <w:i/>
          <w:iCs/>
          <w:sz w:val="22"/>
          <w:szCs w:val="22"/>
        </w:rPr>
        <w:lastRenderedPageBreak/>
        <w:t>Impuestos y Aduanas Nacionales - DIAN y podrá realizarlo a través de su apoderado, agente o representante en Colombia del inversionista, según el caso. La presentación de esta declaración se realizará de forma virtual a través de los Servicios</w:t>
      </w:r>
      <w:r>
        <w:rPr>
          <w:rFonts w:ascii="Verdana" w:hAnsi="Verdana"/>
          <w:i/>
          <w:iCs/>
          <w:sz w:val="22"/>
          <w:szCs w:val="22"/>
        </w:rPr>
        <w:t xml:space="preserve"> </w:t>
      </w:r>
      <w:r w:rsidRPr="00F30F25">
        <w:rPr>
          <w:rFonts w:ascii="Verdana" w:hAnsi="Verdana"/>
          <w:i/>
          <w:iCs/>
          <w:sz w:val="22"/>
          <w:szCs w:val="22"/>
        </w:rPr>
        <w:t>Informáticos Electrónicos, mediante el mecanismo de firma digital o firma electrónica dispuesto por la entidad, si así lo establece la Resolución que expida la Unidad Administrativa Especial Dirección de Impuestos y Aduanas Nacionales -DIAN, conforme con lo previsto en el artículo 579</w:t>
      </w:r>
      <w:r w:rsidRPr="00F30F25">
        <w:rPr>
          <w:rFonts w:ascii="Verdana" w:hAnsi="Verdana"/>
          <w:i/>
          <w:iCs/>
          <w:sz w:val="22"/>
          <w:szCs w:val="22"/>
        </w:rPr>
        <w:softHyphen/>
        <w:t>2 del Estatuto Tributario. Para lo anterior, el apoderado, agente o representante en Colombia del inversionista deberá estar inscrito en el Registro Único Tributario -RUT</w:t>
      </w:r>
      <w:r>
        <w:rPr>
          <w:rFonts w:ascii="Verdana" w:hAnsi="Verdana"/>
          <w:i/>
          <w:iCs/>
          <w:sz w:val="22"/>
          <w:szCs w:val="22"/>
        </w:rPr>
        <w:t xml:space="preserve"> </w:t>
      </w:r>
      <w:r w:rsidRPr="00F30F25">
        <w:rPr>
          <w:rFonts w:ascii="Verdana" w:hAnsi="Verdana"/>
          <w:i/>
          <w:iCs/>
          <w:sz w:val="22"/>
          <w:szCs w:val="22"/>
        </w:rPr>
        <w:t>y contar con el mecanismo de firma digital o firma electrónica que disponga la entidad.</w:t>
      </w:r>
    </w:p>
    <w:p w14:paraId="4DAF1CDA" w14:textId="77777777" w:rsidR="00F30F25" w:rsidRDefault="00F30F25" w:rsidP="00F30F25">
      <w:pPr>
        <w:pStyle w:val="Sinespaciado"/>
        <w:ind w:left="708"/>
        <w:jc w:val="both"/>
        <w:rPr>
          <w:rFonts w:ascii="Verdana" w:hAnsi="Verdana"/>
          <w:i/>
          <w:iCs/>
          <w:sz w:val="22"/>
          <w:szCs w:val="22"/>
        </w:rPr>
      </w:pPr>
    </w:p>
    <w:p w14:paraId="25651E90" w14:textId="1BA184C2" w:rsidR="0046394A" w:rsidRPr="00F30F25" w:rsidRDefault="00F30F25" w:rsidP="00F30F25">
      <w:pPr>
        <w:pStyle w:val="Sinespaciado"/>
        <w:ind w:left="708"/>
        <w:jc w:val="both"/>
        <w:rPr>
          <w:rFonts w:ascii="Verdana" w:hAnsi="Verdana"/>
          <w:i/>
          <w:iCs/>
          <w:sz w:val="22"/>
          <w:szCs w:val="22"/>
        </w:rPr>
      </w:pPr>
      <w:r w:rsidRPr="00F30F25">
        <w:rPr>
          <w:rFonts w:ascii="Verdana" w:hAnsi="Verdana"/>
          <w:i/>
          <w:iCs/>
          <w:sz w:val="22"/>
          <w:szCs w:val="22"/>
        </w:rPr>
        <w:t xml:space="preserve">La presentación de la </w:t>
      </w:r>
      <w:r>
        <w:rPr>
          <w:rFonts w:ascii="Verdana" w:hAnsi="Verdana"/>
          <w:i/>
          <w:iCs/>
          <w:sz w:val="22"/>
          <w:szCs w:val="22"/>
        </w:rPr>
        <w:t>“</w:t>
      </w:r>
      <w:r w:rsidRPr="00F30F25">
        <w:rPr>
          <w:rFonts w:ascii="Verdana" w:hAnsi="Verdana"/>
          <w:i/>
          <w:iCs/>
          <w:sz w:val="22"/>
          <w:szCs w:val="22"/>
        </w:rPr>
        <w:t>Declaración de renta por cambio de titularidad de la inversión extranjera</w:t>
      </w:r>
      <w:r>
        <w:rPr>
          <w:rFonts w:ascii="Verdana" w:hAnsi="Verdana"/>
          <w:i/>
          <w:iCs/>
          <w:sz w:val="22"/>
          <w:szCs w:val="22"/>
        </w:rPr>
        <w:t>”</w:t>
      </w:r>
      <w:r w:rsidRPr="00F30F25">
        <w:rPr>
          <w:rFonts w:ascii="Verdana" w:hAnsi="Verdana"/>
          <w:i/>
          <w:iCs/>
          <w:sz w:val="22"/>
          <w:szCs w:val="22"/>
        </w:rPr>
        <w:t xml:space="preserve"> será obligatoria por cada operación, aún en el evento en que no se genere impuesto a cargo por la respectiva transacción.</w:t>
      </w:r>
    </w:p>
    <w:p w14:paraId="18763C1A" w14:textId="77777777" w:rsidR="00F30F25" w:rsidRDefault="00F30F25" w:rsidP="00F30F25">
      <w:pPr>
        <w:pStyle w:val="Sinespaciado"/>
        <w:ind w:left="708"/>
        <w:jc w:val="both"/>
        <w:rPr>
          <w:rFonts w:ascii="Verdana" w:hAnsi="Verdana"/>
          <w:i/>
          <w:iCs/>
          <w:sz w:val="22"/>
          <w:szCs w:val="22"/>
        </w:rPr>
      </w:pPr>
    </w:p>
    <w:p w14:paraId="33524AB6" w14:textId="1D044EB1" w:rsidR="0046394A" w:rsidRPr="00F30F25" w:rsidRDefault="00F30F25" w:rsidP="00F30F25">
      <w:pPr>
        <w:pStyle w:val="Sinespaciado"/>
        <w:ind w:left="708"/>
        <w:jc w:val="both"/>
        <w:rPr>
          <w:rFonts w:ascii="Verdana" w:hAnsi="Verdana"/>
          <w:i/>
          <w:iCs/>
          <w:sz w:val="22"/>
          <w:szCs w:val="22"/>
        </w:rPr>
      </w:pPr>
      <w:r w:rsidRPr="00F30F25">
        <w:rPr>
          <w:rFonts w:ascii="Verdana" w:hAnsi="Verdana"/>
          <w:i/>
          <w:iCs/>
          <w:sz w:val="22"/>
          <w:szCs w:val="22"/>
        </w:rPr>
        <w:t>Tendrán la obligación de presentar</w:t>
      </w:r>
      <w:r>
        <w:rPr>
          <w:rFonts w:ascii="Verdana" w:hAnsi="Verdana"/>
          <w:i/>
          <w:iCs/>
          <w:sz w:val="22"/>
          <w:szCs w:val="22"/>
        </w:rPr>
        <w:t xml:space="preserve"> “</w:t>
      </w:r>
      <w:r w:rsidRPr="00F30F25">
        <w:rPr>
          <w:rFonts w:ascii="Verdana" w:hAnsi="Verdana"/>
          <w:i/>
          <w:iCs/>
          <w:sz w:val="22"/>
          <w:szCs w:val="22"/>
        </w:rPr>
        <w:t>Declaración de renta por cambio de titularidad de la inversión extranjera</w:t>
      </w:r>
      <w:r>
        <w:rPr>
          <w:rFonts w:ascii="Verdana" w:hAnsi="Verdana"/>
          <w:i/>
          <w:iCs/>
          <w:sz w:val="22"/>
          <w:szCs w:val="22"/>
        </w:rPr>
        <w:t>”</w:t>
      </w:r>
      <w:r w:rsidRPr="00F30F25">
        <w:rPr>
          <w:rFonts w:ascii="Verdana" w:hAnsi="Verdana"/>
          <w:i/>
          <w:iCs/>
          <w:sz w:val="22"/>
          <w:szCs w:val="22"/>
        </w:rPr>
        <w:t xml:space="preserve"> cuando se presente algunos de los hechos que configuren enajenación indirecta y el enajenante indirecto no sea un residente fiscal colombiano, de conformidad con el artículo 90-3 del Estatuto Tributario y el Capítulo 26 del Título 1 de la Parte 2 del Libro 1 del presente Decreto.</w:t>
      </w:r>
    </w:p>
    <w:p w14:paraId="72B51884" w14:textId="77777777" w:rsidR="00F30F25" w:rsidRDefault="00F30F25" w:rsidP="00F30F25">
      <w:pPr>
        <w:pStyle w:val="Sinespaciado"/>
        <w:ind w:left="708"/>
        <w:jc w:val="both"/>
        <w:rPr>
          <w:rStyle w:val="Cuerpodeltexto1211pto"/>
          <w:rFonts w:ascii="Verdana" w:hAnsi="Verdana"/>
        </w:rPr>
      </w:pPr>
    </w:p>
    <w:p w14:paraId="7708FE22" w14:textId="494B8EE1" w:rsidR="0046394A" w:rsidRPr="00F30F25" w:rsidRDefault="00F30F25" w:rsidP="00F30F25">
      <w:pPr>
        <w:pStyle w:val="Sinespaciado"/>
        <w:ind w:left="708"/>
        <w:jc w:val="both"/>
        <w:rPr>
          <w:rFonts w:ascii="Verdana" w:hAnsi="Verdana"/>
          <w:b/>
          <w:bCs/>
        </w:rPr>
      </w:pPr>
      <w:r w:rsidRPr="00F30F25">
        <w:rPr>
          <w:rStyle w:val="Cuerpodeltexto1211pto"/>
          <w:rFonts w:ascii="Verdana" w:hAnsi="Verdana"/>
        </w:rPr>
        <w:t xml:space="preserve">PARÁGRAFO. </w:t>
      </w:r>
      <w:r w:rsidRPr="00F30F25">
        <w:rPr>
          <w:rFonts w:ascii="Verdana" w:hAnsi="Verdana"/>
          <w:i/>
          <w:iCs/>
          <w:sz w:val="22"/>
          <w:szCs w:val="22"/>
        </w:rPr>
        <w:t>La transferencia de valores inscritos en el Registro Nacional de Valores y Emisores -RNVE, calificada como inversión de portafolio por el artículo 2.17.2.2.1.2 del Decreto Único Reglamentario 1068 de 2015 del Sector de Hacienda y Crédito Público, no requiere la presentación de la declaración señalada en este artículo, salvo que se configure lo previsto en el inciso 2 del artículo 36-1 del Estatuto Tributario, es decir, que la enajenación de las acciones supere el diez por ciento (10%) de las acciones en circulación de la respectiva sociedad, durante un mismo año gravable, caso en el cual, el inversionista estará obligado a presentar la declaración anual del impuesto sobre la renta y complementario, por las utilidades provenientes de dicha enajenación”.</w:t>
      </w:r>
      <w:r w:rsidRPr="00F30F25">
        <w:rPr>
          <w:rStyle w:val="Cuerpodeltexto1295ptoSincursiva"/>
          <w:rFonts w:ascii="Verdana" w:hAnsi="Verdana"/>
          <w:i w:val="0"/>
          <w:iCs w:val="0"/>
          <w:sz w:val="24"/>
          <w:szCs w:val="24"/>
        </w:rPr>
        <w:t xml:space="preserve"> </w:t>
      </w:r>
      <w:r w:rsidRPr="00F30F25">
        <w:rPr>
          <w:rStyle w:val="Cuerpodeltexto12105ptoSincursiva"/>
          <w:rFonts w:ascii="Verdana" w:hAnsi="Verdana"/>
          <w:b w:val="0"/>
          <w:bCs w:val="0"/>
          <w:i w:val="0"/>
          <w:iCs w:val="0"/>
          <w:sz w:val="24"/>
          <w:szCs w:val="24"/>
        </w:rPr>
        <w:t>(Subrayado y negrilla fuera de texto).</w:t>
      </w:r>
    </w:p>
    <w:p w14:paraId="7A6BC020" w14:textId="77777777" w:rsidR="00F30F25" w:rsidRDefault="00F30F25" w:rsidP="00F30F25">
      <w:pPr>
        <w:pStyle w:val="Sinespaciado"/>
        <w:jc w:val="both"/>
        <w:rPr>
          <w:rStyle w:val="Cuerpodeltexto12105ptoSincursiva"/>
          <w:rFonts w:ascii="Verdana" w:hAnsi="Verdana"/>
          <w:i w:val="0"/>
          <w:iCs w:val="0"/>
          <w:sz w:val="24"/>
          <w:szCs w:val="24"/>
        </w:rPr>
      </w:pPr>
    </w:p>
    <w:p w14:paraId="2F0A4C46" w14:textId="287A646F" w:rsidR="0046394A" w:rsidRPr="00F30F25" w:rsidRDefault="00F30F25" w:rsidP="00F30F25">
      <w:pPr>
        <w:pStyle w:val="Sinespaciado"/>
        <w:jc w:val="both"/>
        <w:rPr>
          <w:rFonts w:ascii="Verdana" w:hAnsi="Verdana"/>
          <w:b/>
          <w:bCs/>
          <w:i/>
          <w:iCs/>
        </w:rPr>
      </w:pPr>
      <w:r w:rsidRPr="00F30F25">
        <w:rPr>
          <w:rStyle w:val="Cuerpodeltexto12105ptoSincursiva"/>
          <w:rFonts w:ascii="Verdana" w:hAnsi="Verdana"/>
          <w:b w:val="0"/>
          <w:bCs w:val="0"/>
          <w:i w:val="0"/>
          <w:iCs w:val="0"/>
          <w:sz w:val="24"/>
          <w:szCs w:val="24"/>
        </w:rPr>
        <w:t>Al respecto, el artículo 2 de la Resolución No. 000018 del 17 de febrero de 2021,</w:t>
      </w:r>
      <w:r w:rsidRPr="00F30F25">
        <w:rPr>
          <w:rStyle w:val="Cuerpodeltexto12105ptoSincursiva"/>
          <w:rFonts w:ascii="Verdana" w:hAnsi="Verdana"/>
          <w:i w:val="0"/>
          <w:iCs w:val="0"/>
          <w:sz w:val="24"/>
          <w:szCs w:val="24"/>
        </w:rPr>
        <w:t xml:space="preserve"> </w:t>
      </w:r>
      <w:r w:rsidRPr="00F30F25">
        <w:rPr>
          <w:rFonts w:ascii="Verdana" w:hAnsi="Verdana"/>
          <w:i/>
          <w:iCs/>
        </w:rPr>
        <w:t>“Por la cual se prescribe el formulario para la presentación de la Declaración de Renta por Cambio de la Titularidad de la Inversión Extranjera Directa y Enajenaciones Indirectas -Formulario 150 a partir del año 2021 y siguientes”,</w:t>
      </w:r>
      <w:r w:rsidRPr="00F30F25">
        <w:rPr>
          <w:rStyle w:val="Cuerpodeltexto1295ptoSincursiva"/>
          <w:rFonts w:ascii="Verdana" w:hAnsi="Verdana"/>
          <w:i w:val="0"/>
          <w:iCs w:val="0"/>
          <w:sz w:val="24"/>
          <w:szCs w:val="24"/>
        </w:rPr>
        <w:t xml:space="preserve"> </w:t>
      </w:r>
      <w:r w:rsidRPr="00F30F25">
        <w:rPr>
          <w:rStyle w:val="Cuerpodeltexto12105ptoSincursiva"/>
          <w:rFonts w:ascii="Verdana" w:hAnsi="Verdana"/>
          <w:b w:val="0"/>
          <w:bCs w:val="0"/>
          <w:i w:val="0"/>
          <w:iCs w:val="0"/>
          <w:sz w:val="24"/>
          <w:szCs w:val="24"/>
        </w:rPr>
        <w:t>señala:</w:t>
      </w:r>
    </w:p>
    <w:p w14:paraId="7FA37B3F" w14:textId="77777777" w:rsidR="00F30F25" w:rsidRDefault="00F30F25" w:rsidP="00F30F25">
      <w:pPr>
        <w:pStyle w:val="Sinespaciado"/>
        <w:jc w:val="both"/>
        <w:rPr>
          <w:rFonts w:ascii="Verdana" w:hAnsi="Verdana"/>
        </w:rPr>
      </w:pPr>
    </w:p>
    <w:p w14:paraId="391CDEE4" w14:textId="12B6889C" w:rsidR="0046394A" w:rsidRPr="00F30F25" w:rsidRDefault="00F30F25" w:rsidP="00F30F25">
      <w:pPr>
        <w:pStyle w:val="Sinespaciado"/>
        <w:ind w:left="708"/>
        <w:jc w:val="both"/>
        <w:rPr>
          <w:rFonts w:ascii="Verdana" w:hAnsi="Verdana"/>
          <w:b/>
          <w:bCs/>
          <w:sz w:val="22"/>
          <w:szCs w:val="22"/>
        </w:rPr>
      </w:pPr>
      <w:r w:rsidRPr="00F30F25">
        <w:rPr>
          <w:rFonts w:ascii="Verdana" w:hAnsi="Verdana"/>
          <w:b/>
          <w:bCs/>
          <w:i/>
          <w:iCs/>
          <w:sz w:val="22"/>
          <w:szCs w:val="22"/>
        </w:rPr>
        <w:t>“Artículo 2. Obligados a presentar la Declaración de Renta por Cambio de la Titularidad de la Inversión Extranjera Directa y Enajenaciones Indirectas - Formulario 150.</w:t>
      </w:r>
      <w:r w:rsidRPr="00F30F25">
        <w:rPr>
          <w:rFonts w:ascii="Verdana" w:hAnsi="Verdana"/>
          <w:i/>
          <w:iCs/>
          <w:sz w:val="22"/>
          <w:szCs w:val="22"/>
        </w:rPr>
        <w:t xml:space="preserve"> </w:t>
      </w:r>
      <w:r w:rsidRPr="00F30F25">
        <w:rPr>
          <w:rStyle w:val="Cuerpodeltexto4010pto"/>
          <w:rFonts w:ascii="Verdana" w:hAnsi="Verdana"/>
          <w:b w:val="0"/>
          <w:bCs w:val="0"/>
          <w:sz w:val="22"/>
          <w:szCs w:val="22"/>
        </w:rPr>
        <w:t xml:space="preserve">De conformidad con lo preceptuado en los artículos 90-3, 326 y 327 del Estatuto Tributario, </w:t>
      </w:r>
      <w:r w:rsidRPr="00F30F25">
        <w:rPr>
          <w:rStyle w:val="Cuerpodeltexto401"/>
          <w:rFonts w:ascii="Verdana" w:hAnsi="Verdana"/>
          <w:b w:val="0"/>
          <w:bCs w:val="0"/>
        </w:rPr>
        <w:t xml:space="preserve">el formulario adoptado en el </w:t>
      </w:r>
      <w:r w:rsidRPr="00F30F25">
        <w:rPr>
          <w:rStyle w:val="Cuerpodeltexto401"/>
          <w:rFonts w:ascii="Verdana" w:hAnsi="Verdana"/>
          <w:b w:val="0"/>
          <w:bCs w:val="0"/>
        </w:rPr>
        <w:lastRenderedPageBreak/>
        <w:t>artículo 1 de la presente Resolución es de uso obligatorio para los contribuyentes que realicen el cambio de titularidad de inversión extranjera y/o cuando se presente algunos de los hechos que configuren enajenación indirecta y el enajenante indirecto no sea un residente fiscal colombiano</w:t>
      </w:r>
      <w:r w:rsidRPr="00F30F25">
        <w:rPr>
          <w:rStyle w:val="Cuerpodeltexto4010pto0"/>
          <w:rFonts w:ascii="Verdana" w:hAnsi="Verdana"/>
          <w:b w:val="0"/>
          <w:bCs w:val="0"/>
          <w:sz w:val="22"/>
          <w:szCs w:val="22"/>
          <w:u w:val="none"/>
        </w:rPr>
        <w:t>,</w:t>
      </w:r>
      <w:r w:rsidRPr="00F30F25">
        <w:rPr>
          <w:rStyle w:val="Cuerpodeltexto4010pto"/>
          <w:rFonts w:ascii="Verdana" w:hAnsi="Verdana"/>
          <w:b w:val="0"/>
          <w:bCs w:val="0"/>
          <w:sz w:val="22"/>
          <w:szCs w:val="22"/>
        </w:rPr>
        <w:t xml:space="preserve"> de conformidad con el artículo 90-3 del Estatuto Tributario y el Capítulo 26 del Título 1 de la Parte 2 del Libro 1 del Decreto 1625 de 2016, Único Reglamentario en Materia Tributaria.</w:t>
      </w:r>
    </w:p>
    <w:p w14:paraId="72E61E2B" w14:textId="77777777" w:rsidR="00F30F25" w:rsidRDefault="00F30F25" w:rsidP="00F30F25">
      <w:pPr>
        <w:pStyle w:val="Sinespaciado"/>
        <w:ind w:left="708"/>
        <w:jc w:val="both"/>
        <w:rPr>
          <w:rFonts w:ascii="Verdana" w:hAnsi="Verdana"/>
          <w:i/>
          <w:iCs/>
          <w:sz w:val="22"/>
          <w:szCs w:val="22"/>
        </w:rPr>
      </w:pPr>
    </w:p>
    <w:p w14:paraId="239F92EB" w14:textId="3DBC1107" w:rsidR="0046394A" w:rsidRPr="00F30F25" w:rsidRDefault="00F30F25" w:rsidP="00F30F25">
      <w:pPr>
        <w:pStyle w:val="Sinespaciado"/>
        <w:ind w:left="708"/>
        <w:jc w:val="both"/>
        <w:rPr>
          <w:rFonts w:ascii="Verdana" w:hAnsi="Verdana"/>
          <w:i/>
          <w:iCs/>
          <w:sz w:val="22"/>
          <w:szCs w:val="22"/>
        </w:rPr>
      </w:pPr>
      <w:r w:rsidRPr="00F30F25">
        <w:rPr>
          <w:rFonts w:ascii="Verdana" w:hAnsi="Verdana"/>
          <w:i/>
          <w:iCs/>
          <w:sz w:val="22"/>
          <w:szCs w:val="22"/>
        </w:rPr>
        <w:t>El titular de la inversión extranjera que realice la transacción o venta de su inversión, deberá presentar la declaración de cambio de titularidad, a través de los servicios informáticos de la Dirección de Impuestos y Aduanas Nacionales y podrá realizarlo a través del apoderado, agente o representante en Colombia del inversionista.</w:t>
      </w:r>
    </w:p>
    <w:p w14:paraId="5082AF39" w14:textId="77777777" w:rsidR="00F30F25" w:rsidRDefault="00F30F25" w:rsidP="00F30F25">
      <w:pPr>
        <w:pStyle w:val="Sinespaciado"/>
        <w:ind w:left="708"/>
        <w:jc w:val="both"/>
        <w:rPr>
          <w:rFonts w:ascii="Verdana" w:hAnsi="Verdana"/>
          <w:i/>
          <w:iCs/>
          <w:sz w:val="22"/>
          <w:szCs w:val="22"/>
        </w:rPr>
      </w:pPr>
    </w:p>
    <w:p w14:paraId="3BD3FCCA" w14:textId="012055A8" w:rsidR="0046394A" w:rsidRPr="00F30F25" w:rsidRDefault="00F30F25" w:rsidP="00F30F25">
      <w:pPr>
        <w:pStyle w:val="Sinespaciado"/>
        <w:ind w:left="708"/>
        <w:jc w:val="both"/>
        <w:rPr>
          <w:rFonts w:ascii="Verdana" w:hAnsi="Verdana"/>
        </w:rPr>
      </w:pPr>
      <w:r w:rsidRPr="00F30F25">
        <w:rPr>
          <w:rFonts w:ascii="Verdana" w:hAnsi="Verdana"/>
          <w:i/>
          <w:iCs/>
          <w:sz w:val="22"/>
          <w:szCs w:val="22"/>
        </w:rPr>
        <w:t>La presentación de la declaración de cambio de titularidad será obligatoria, aún en el evento en que no se genere impuesto a cargo por la respectiva transacción”.</w:t>
      </w:r>
      <w:r w:rsidRPr="00F30F25">
        <w:rPr>
          <w:rStyle w:val="Cuerpodeltexto1295ptoSincursiva"/>
          <w:rFonts w:ascii="Verdana" w:hAnsi="Verdana"/>
          <w:i w:val="0"/>
          <w:iCs w:val="0"/>
          <w:sz w:val="24"/>
          <w:szCs w:val="24"/>
        </w:rPr>
        <w:t xml:space="preserve"> </w:t>
      </w:r>
      <w:r w:rsidRPr="00F30F25">
        <w:rPr>
          <w:rStyle w:val="Cuerpodeltexto12105ptoSincursiva"/>
          <w:rFonts w:ascii="Verdana" w:hAnsi="Verdana"/>
          <w:b w:val="0"/>
          <w:bCs w:val="0"/>
          <w:i w:val="0"/>
          <w:iCs w:val="0"/>
          <w:sz w:val="24"/>
          <w:szCs w:val="24"/>
        </w:rPr>
        <w:t>(Subrayado y negrilla fuera de texto).</w:t>
      </w:r>
    </w:p>
    <w:p w14:paraId="643C9416" w14:textId="77777777" w:rsidR="00F30F25" w:rsidRDefault="00F30F25" w:rsidP="00F30F25">
      <w:pPr>
        <w:pStyle w:val="Sinespaciado"/>
        <w:jc w:val="both"/>
        <w:rPr>
          <w:rFonts w:ascii="Verdana" w:hAnsi="Verdana"/>
        </w:rPr>
      </w:pPr>
    </w:p>
    <w:p w14:paraId="4E95ACCB" w14:textId="40890975" w:rsidR="0046394A" w:rsidRPr="00F30F25" w:rsidRDefault="00F30F25" w:rsidP="00F30F25">
      <w:pPr>
        <w:pStyle w:val="Sinespaciado"/>
        <w:jc w:val="both"/>
        <w:rPr>
          <w:rFonts w:ascii="Verdana" w:hAnsi="Verdana"/>
        </w:rPr>
      </w:pPr>
      <w:r w:rsidRPr="00F30F25">
        <w:rPr>
          <w:rFonts w:ascii="Verdana" w:hAnsi="Verdana"/>
        </w:rPr>
        <w:t>Así, para estos efectos, mediante el Formulario 150 se deberán indicar los ingresos brutos derivados de la enajenación, detrayendo de los mismos el costo fiscal y su correspondiente ajuste, para así determinar la utilidad de la operación sujeta a imposición.</w:t>
      </w:r>
    </w:p>
    <w:p w14:paraId="2EF79B12" w14:textId="77777777" w:rsidR="00F30F25" w:rsidRDefault="00F30F25" w:rsidP="00F30F25">
      <w:pPr>
        <w:pStyle w:val="Sinespaciado"/>
        <w:jc w:val="both"/>
        <w:rPr>
          <w:rFonts w:ascii="Verdana" w:hAnsi="Verdana"/>
        </w:rPr>
      </w:pPr>
    </w:p>
    <w:p w14:paraId="5F12D8A9" w14:textId="0309EDE2" w:rsidR="0046394A" w:rsidRPr="00F30F25" w:rsidRDefault="00F30F25" w:rsidP="00F30F25">
      <w:pPr>
        <w:pStyle w:val="Sinespaciado"/>
        <w:jc w:val="both"/>
        <w:rPr>
          <w:rFonts w:ascii="Verdana" w:hAnsi="Verdana"/>
        </w:rPr>
      </w:pPr>
      <w:r w:rsidRPr="00F30F25">
        <w:rPr>
          <w:rFonts w:ascii="Verdana" w:hAnsi="Verdana"/>
        </w:rPr>
        <w:t>Ahora bien, del total del impuesto a cargo, únicamente podrán descontarse las retenciones en la fuente que fueron practicadas y que tengan relación directa con la operación de cambio de titularidad, para así finalmente determinar el saldo total a pagar o saldo a favor, según sea el caso.</w:t>
      </w:r>
    </w:p>
    <w:p w14:paraId="0CB536B7" w14:textId="77777777" w:rsidR="00F30F25" w:rsidRDefault="00F30F25" w:rsidP="00F30F25">
      <w:pPr>
        <w:pStyle w:val="Sinespaciado"/>
        <w:jc w:val="both"/>
        <w:rPr>
          <w:rFonts w:ascii="Verdana" w:hAnsi="Verdana"/>
        </w:rPr>
      </w:pPr>
    </w:p>
    <w:p w14:paraId="710EC154" w14:textId="6C04BC35" w:rsidR="0046394A" w:rsidRPr="00F30F25" w:rsidRDefault="00F30F25" w:rsidP="00F30F25">
      <w:pPr>
        <w:pStyle w:val="Sinespaciado"/>
        <w:jc w:val="both"/>
        <w:rPr>
          <w:rFonts w:ascii="Verdana" w:hAnsi="Verdana"/>
        </w:rPr>
      </w:pPr>
      <w:r w:rsidRPr="00F30F25">
        <w:rPr>
          <w:rFonts w:ascii="Verdana" w:hAnsi="Verdana"/>
        </w:rPr>
        <w:t>En ese orden de ideas, se encuentra que, de conformidad con la finalidad y la estructura misma del Formulario 150, no es procedente incluir descuentos tributarios en el mismo, toda vez que la declaración de renta en comento constituye una declaración de propósito especial bajo la cual el titular de la inversión extranjera que realice la venta de su inversión directa en Colombia liquida y paga el impuesto derivado de su operación, siguiendo el procedimiento antes referido.</w:t>
      </w:r>
    </w:p>
    <w:p w14:paraId="7D0DD472" w14:textId="77777777" w:rsidR="00F30F25" w:rsidRDefault="00F30F25" w:rsidP="00F30F25">
      <w:pPr>
        <w:pStyle w:val="Sinespaciado"/>
        <w:jc w:val="both"/>
        <w:rPr>
          <w:rFonts w:ascii="Verdana" w:hAnsi="Verdana"/>
        </w:rPr>
      </w:pPr>
    </w:p>
    <w:p w14:paraId="5E1BAFF8" w14:textId="40B92917" w:rsidR="0046394A" w:rsidRPr="00F30F25" w:rsidRDefault="00F30F25" w:rsidP="00F30F25">
      <w:pPr>
        <w:pStyle w:val="Sinespaciado"/>
        <w:jc w:val="both"/>
        <w:rPr>
          <w:rFonts w:ascii="Verdana" w:hAnsi="Verdana"/>
        </w:rPr>
      </w:pPr>
      <w:r w:rsidRPr="00F30F25">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w:t>
      </w:r>
      <w:r>
        <w:rPr>
          <w:rFonts w:ascii="Verdana" w:hAnsi="Verdana"/>
        </w:rPr>
        <w:t xml:space="preserve">t </w:t>
      </w:r>
      <w:r w:rsidRPr="00F30F25">
        <w:rPr>
          <w:rFonts w:ascii="Verdana" w:hAnsi="Verdana"/>
        </w:rPr>
        <w:t>www.dian.gov.co, la base de conceptos en materia tributaria, aduanera y cambiaria expedidos desde el año 2001, la cual se puede ingresar por el icono de “Normatividad” -</w:t>
      </w:r>
      <w:r>
        <w:rPr>
          <w:rFonts w:ascii="Verdana" w:hAnsi="Verdana"/>
        </w:rPr>
        <w:t xml:space="preserve"> </w:t>
      </w:r>
      <w:r w:rsidRPr="00F30F25">
        <w:rPr>
          <w:rFonts w:ascii="Verdana" w:hAnsi="Verdana"/>
        </w:rPr>
        <w:t xml:space="preserve">“Doctrina”, dando click en el </w:t>
      </w:r>
      <w:r w:rsidRPr="00F30F25">
        <w:rPr>
          <w:rFonts w:ascii="Verdana" w:hAnsi="Verdana"/>
        </w:rPr>
        <w:lastRenderedPageBreak/>
        <w:t>link “Doctrina Dirección de Gestión Jurídica”.</w:t>
      </w:r>
    </w:p>
    <w:p w14:paraId="0E4937DD" w14:textId="77777777" w:rsidR="00F30F25" w:rsidRDefault="00F30F25" w:rsidP="00F30F25">
      <w:pPr>
        <w:pStyle w:val="Sinespaciado"/>
        <w:jc w:val="both"/>
        <w:rPr>
          <w:rFonts w:ascii="Verdana" w:hAnsi="Verdana"/>
        </w:rPr>
      </w:pPr>
    </w:p>
    <w:p w14:paraId="149061AA" w14:textId="77777777" w:rsidR="00F30F25" w:rsidRDefault="00F30F25" w:rsidP="00F30F25">
      <w:pPr>
        <w:pStyle w:val="Sinespaciado"/>
        <w:jc w:val="both"/>
        <w:rPr>
          <w:rFonts w:ascii="Verdana" w:hAnsi="Verdana"/>
        </w:rPr>
      </w:pPr>
    </w:p>
    <w:p w14:paraId="673AB20E" w14:textId="29F0C3B3" w:rsidR="0046394A" w:rsidRPr="00F30F25" w:rsidRDefault="00F30F25" w:rsidP="00F30F25">
      <w:pPr>
        <w:pStyle w:val="Sinespaciado"/>
        <w:jc w:val="both"/>
        <w:rPr>
          <w:rFonts w:ascii="Verdana" w:hAnsi="Verdana"/>
        </w:rPr>
      </w:pPr>
      <w:r w:rsidRPr="00F30F25">
        <w:rPr>
          <w:rFonts w:ascii="Verdana" w:hAnsi="Verdana"/>
        </w:rPr>
        <w:t>Atentamente,</w:t>
      </w:r>
    </w:p>
    <w:p w14:paraId="784E53F5" w14:textId="77777777" w:rsidR="00F30F25" w:rsidRDefault="00F30F25" w:rsidP="00F30F25">
      <w:pPr>
        <w:pStyle w:val="Sinespaciado"/>
        <w:jc w:val="both"/>
        <w:rPr>
          <w:rFonts w:ascii="Verdana" w:hAnsi="Verdana"/>
        </w:rPr>
      </w:pPr>
    </w:p>
    <w:p w14:paraId="103769E8" w14:textId="77777777" w:rsidR="00F30F25" w:rsidRDefault="00F30F25" w:rsidP="00F30F25">
      <w:pPr>
        <w:pStyle w:val="Sinespaciado"/>
        <w:jc w:val="both"/>
        <w:rPr>
          <w:rFonts w:ascii="Verdana" w:hAnsi="Verdana"/>
        </w:rPr>
      </w:pPr>
    </w:p>
    <w:p w14:paraId="044BF6CE" w14:textId="77777777" w:rsidR="00F30F25" w:rsidRDefault="00F30F25" w:rsidP="00F30F25">
      <w:pPr>
        <w:pStyle w:val="Sinespaciado"/>
        <w:jc w:val="both"/>
        <w:rPr>
          <w:rFonts w:ascii="Verdana" w:hAnsi="Verdana"/>
        </w:rPr>
      </w:pPr>
    </w:p>
    <w:p w14:paraId="16B43C66" w14:textId="38E6AB72" w:rsidR="0046394A" w:rsidRPr="00F30F25" w:rsidRDefault="00F30F25" w:rsidP="00F30F25">
      <w:pPr>
        <w:pStyle w:val="Sinespaciado"/>
        <w:jc w:val="both"/>
        <w:rPr>
          <w:rFonts w:ascii="Verdana" w:hAnsi="Verdana"/>
          <w:b/>
          <w:bCs/>
        </w:rPr>
      </w:pPr>
      <w:r w:rsidRPr="00F30F25">
        <w:rPr>
          <w:rFonts w:ascii="Verdana" w:hAnsi="Verdana"/>
          <w:b/>
          <w:bCs/>
        </w:rPr>
        <w:t>NICOLÁS BERNAL ABELLA</w:t>
      </w:r>
    </w:p>
    <w:p w14:paraId="1B7DD067" w14:textId="77777777" w:rsidR="0046394A" w:rsidRPr="00F30F25" w:rsidRDefault="00F30F25" w:rsidP="00F30F25">
      <w:pPr>
        <w:pStyle w:val="Sinespaciado"/>
        <w:jc w:val="both"/>
        <w:rPr>
          <w:rFonts w:ascii="Verdana" w:hAnsi="Verdana"/>
        </w:rPr>
      </w:pPr>
      <w:r w:rsidRPr="00F30F25">
        <w:rPr>
          <w:rFonts w:ascii="Verdana" w:hAnsi="Verdana"/>
        </w:rPr>
        <w:t>Subdirector de Normativa y Doctrina (E)</w:t>
      </w:r>
    </w:p>
    <w:p w14:paraId="44B0AD80" w14:textId="77777777" w:rsidR="0046394A" w:rsidRPr="00F30F25" w:rsidRDefault="00F30F25" w:rsidP="00F30F25">
      <w:pPr>
        <w:pStyle w:val="Sinespaciado"/>
        <w:jc w:val="both"/>
        <w:rPr>
          <w:rFonts w:ascii="Verdana" w:hAnsi="Verdana"/>
        </w:rPr>
      </w:pPr>
      <w:r w:rsidRPr="00F30F25">
        <w:rPr>
          <w:rFonts w:ascii="Verdana" w:hAnsi="Verdana"/>
        </w:rPr>
        <w:t>Dirección de Gestión Jurídica</w:t>
      </w:r>
    </w:p>
    <w:p w14:paraId="48FCD62D" w14:textId="77777777" w:rsidR="0046394A" w:rsidRPr="00F30F25" w:rsidRDefault="00F30F25" w:rsidP="00F30F25">
      <w:pPr>
        <w:pStyle w:val="Sinespaciado"/>
        <w:jc w:val="both"/>
        <w:rPr>
          <w:rFonts w:ascii="Verdana" w:hAnsi="Verdana"/>
        </w:rPr>
      </w:pPr>
      <w:r w:rsidRPr="00F30F25">
        <w:rPr>
          <w:rFonts w:ascii="Verdana" w:hAnsi="Verdana"/>
        </w:rPr>
        <w:t>UAE-Dirección de Impuestos y Aduanas Nacionales</w:t>
      </w:r>
    </w:p>
    <w:p w14:paraId="26B14B8C" w14:textId="77777777" w:rsidR="0046394A" w:rsidRPr="00F30F25" w:rsidRDefault="00F30F25" w:rsidP="00F30F25">
      <w:pPr>
        <w:pStyle w:val="Sinespaciado"/>
        <w:jc w:val="both"/>
        <w:rPr>
          <w:rFonts w:ascii="Verdana" w:hAnsi="Verdana"/>
        </w:rPr>
      </w:pPr>
      <w:r w:rsidRPr="00F30F25">
        <w:rPr>
          <w:rFonts w:ascii="Verdana" w:hAnsi="Verdana"/>
        </w:rPr>
        <w:t>Car. 8 N° 6C-38 Piso 4, Edificio San Agustín</w:t>
      </w:r>
    </w:p>
    <w:p w14:paraId="7AAC1378" w14:textId="77777777" w:rsidR="0046394A" w:rsidRPr="00F30F25" w:rsidRDefault="00F30F25" w:rsidP="00F30F25">
      <w:pPr>
        <w:pStyle w:val="Sinespaciado"/>
        <w:jc w:val="both"/>
        <w:rPr>
          <w:rFonts w:ascii="Verdana" w:hAnsi="Verdana"/>
        </w:rPr>
      </w:pPr>
      <w:r w:rsidRPr="00F30F25">
        <w:rPr>
          <w:rFonts w:ascii="Verdana" w:hAnsi="Verdana"/>
        </w:rPr>
        <w:t>Tel: 6079999 Ext: 904101</w:t>
      </w:r>
    </w:p>
    <w:p w14:paraId="3673EC17" w14:textId="77777777" w:rsidR="0046394A" w:rsidRPr="00F30F25" w:rsidRDefault="00F30F25" w:rsidP="00F30F25">
      <w:pPr>
        <w:pStyle w:val="Sinespaciado"/>
        <w:jc w:val="both"/>
        <w:rPr>
          <w:rFonts w:ascii="Verdana" w:hAnsi="Verdana"/>
        </w:rPr>
      </w:pPr>
      <w:r w:rsidRPr="00F30F25">
        <w:rPr>
          <w:rFonts w:ascii="Verdana" w:hAnsi="Verdana"/>
        </w:rPr>
        <w:t>Bogotá D.C.</w:t>
      </w:r>
    </w:p>
    <w:sectPr w:rsidR="0046394A" w:rsidRPr="00F30F25" w:rsidSect="00F30F25">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D42BB" w14:textId="77777777" w:rsidR="00BA3324" w:rsidRDefault="00BA3324">
      <w:r>
        <w:separator/>
      </w:r>
    </w:p>
  </w:endnote>
  <w:endnote w:type="continuationSeparator" w:id="0">
    <w:p w14:paraId="09E5B0ED" w14:textId="77777777" w:rsidR="00BA3324" w:rsidRDefault="00BA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85EE" w14:textId="77777777" w:rsidR="00BA3324" w:rsidRDefault="00BA3324">
      <w:r>
        <w:separator/>
      </w:r>
    </w:p>
  </w:footnote>
  <w:footnote w:type="continuationSeparator" w:id="0">
    <w:p w14:paraId="6886AE1A" w14:textId="77777777" w:rsidR="00BA3324" w:rsidRDefault="00BA3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4A"/>
    <w:rsid w:val="0046394A"/>
    <w:rsid w:val="00977E11"/>
    <w:rsid w:val="00BA3324"/>
    <w:rsid w:val="00BD1F84"/>
    <w:rsid w:val="00F30F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2403"/>
  <w15:docId w15:val="{17C51B7A-DB4E-44BA-9170-08F9815E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0">
    <w:name w:val="Cuerpo del texto (70)_"/>
    <w:basedOn w:val="Fuentedeprrafopredeter"/>
    <w:link w:val="Cuerpodeltexto700"/>
    <w:rPr>
      <w:rFonts w:ascii="Arial" w:eastAsia="Arial" w:hAnsi="Arial" w:cs="Arial"/>
      <w:b/>
      <w:bCs/>
      <w:i w:val="0"/>
      <w:iCs w:val="0"/>
      <w:smallCaps w:val="0"/>
      <w:strike w:val="0"/>
      <w:sz w:val="21"/>
      <w:szCs w:val="21"/>
      <w:u w:val="none"/>
    </w:rPr>
  </w:style>
  <w:style w:type="character" w:customStyle="1" w:styleId="Cuerpodeltexto7010ptoCursiva">
    <w:name w:val="Cuerpo del texto (70) + 10 pto;Cursiva"/>
    <w:basedOn w:val="Cuerpodeltexto70"/>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12">
    <w:name w:val="Cuerpo del texto (12)_"/>
    <w:basedOn w:val="Fuentedeprrafopredeter"/>
    <w:link w:val="Cuerpodeltexto120"/>
    <w:rPr>
      <w:rFonts w:ascii="Arial" w:eastAsia="Arial" w:hAnsi="Arial" w:cs="Arial"/>
      <w:b/>
      <w:bCs/>
      <w:i/>
      <w:iCs/>
      <w:smallCaps w:val="0"/>
      <w:strike w:val="0"/>
      <w:sz w:val="20"/>
      <w:szCs w:val="20"/>
      <w:u w:val="none"/>
    </w:rPr>
  </w:style>
  <w:style w:type="character" w:customStyle="1" w:styleId="Cuerpodeltexto1211pto">
    <w:name w:val="Cuerpo del texto (12) + 11 pto"/>
    <w:basedOn w:val="Cuerpodeltexto12"/>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1211pto0">
    <w:name w:val="Cuerpo del texto (12) + 11 pto"/>
    <w:basedOn w:val="Cuerpodeltexto12"/>
    <w:rPr>
      <w:rFonts w:ascii="Arial" w:eastAsia="Arial" w:hAnsi="Arial" w:cs="Arial"/>
      <w:b/>
      <w:bCs/>
      <w:i/>
      <w:iCs/>
      <w:smallCaps w:val="0"/>
      <w:strike w:val="0"/>
      <w:color w:val="000000"/>
      <w:spacing w:val="0"/>
      <w:w w:val="100"/>
      <w:position w:val="0"/>
      <w:sz w:val="22"/>
      <w:szCs w:val="22"/>
      <w:u w:val="single"/>
      <w:lang w:val="es-ES" w:eastAsia="es-ES" w:bidi="es-ES"/>
    </w:rPr>
  </w:style>
  <w:style w:type="character" w:customStyle="1" w:styleId="Cuerpodeltexto121">
    <w:name w:val="Cuerpo del texto (12)"/>
    <w:basedOn w:val="Cuerpodeltexto12"/>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1295ptoSincursiva">
    <w:name w:val="Cuerpo del texto (12) + 9;5 pto;Sin cursiva"/>
    <w:basedOn w:val="Cuerpodeltexto12"/>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12105ptoSincursiva">
    <w:name w:val="Cuerpo del texto (12) + 10;5 pto;Sin cursiva"/>
    <w:basedOn w:val="Cuerpodeltexto12"/>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40">
    <w:name w:val="Cuerpo del texto (40)_"/>
    <w:basedOn w:val="Fuentedeprrafopredeter"/>
    <w:link w:val="Cuerpodeltexto400"/>
    <w:rPr>
      <w:rFonts w:ascii="Arial" w:eastAsia="Arial" w:hAnsi="Arial" w:cs="Arial"/>
      <w:b/>
      <w:bCs/>
      <w:i/>
      <w:iCs/>
      <w:smallCaps w:val="0"/>
      <w:strike w:val="0"/>
      <w:sz w:val="22"/>
      <w:szCs w:val="22"/>
      <w:u w:val="none"/>
    </w:rPr>
  </w:style>
  <w:style w:type="character" w:customStyle="1" w:styleId="Cuerpodeltexto4010pto">
    <w:name w:val="Cuerpo del texto (40) + 10 pto"/>
    <w:basedOn w:val="Cuerpodeltexto40"/>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401">
    <w:name w:val="Cuerpo del texto (40)"/>
    <w:basedOn w:val="Cuerpodeltexto40"/>
    <w:rPr>
      <w:rFonts w:ascii="Arial" w:eastAsia="Arial" w:hAnsi="Arial" w:cs="Arial"/>
      <w:b/>
      <w:bCs/>
      <w:i/>
      <w:iCs/>
      <w:smallCaps w:val="0"/>
      <w:strike w:val="0"/>
      <w:color w:val="000000"/>
      <w:spacing w:val="0"/>
      <w:w w:val="100"/>
      <w:position w:val="0"/>
      <w:sz w:val="22"/>
      <w:szCs w:val="22"/>
      <w:u w:val="single"/>
      <w:lang w:val="es-ES" w:eastAsia="es-ES" w:bidi="es-ES"/>
    </w:rPr>
  </w:style>
  <w:style w:type="character" w:customStyle="1" w:styleId="Cuerpodeltexto4010pto0">
    <w:name w:val="Cuerpo del texto (40) + 10 pto"/>
    <w:basedOn w:val="Cuerpodeltexto40"/>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701">
    <w:name w:val="Cuerpo del texto (70)"/>
    <w:basedOn w:val="Cuerpodeltexto70"/>
    <w:rPr>
      <w:rFonts w:ascii="Arial" w:eastAsia="Arial" w:hAnsi="Arial" w:cs="Arial"/>
      <w:b/>
      <w:bCs/>
      <w:i w:val="0"/>
      <w:iCs w:val="0"/>
      <w:smallCaps w:val="0"/>
      <w:strike w:val="0"/>
      <w:color w:val="000000"/>
      <w:spacing w:val="0"/>
      <w:w w:val="100"/>
      <w:position w:val="0"/>
      <w:sz w:val="21"/>
      <w:szCs w:val="21"/>
      <w:u w:val="single"/>
      <w:lang w:val="es-ES" w:eastAsia="es-ES" w:bidi="es-ES"/>
    </w:rPr>
  </w:style>
  <w:style w:type="character" w:customStyle="1" w:styleId="Cuerpodeltexto159">
    <w:name w:val="Cuerpo del texto (159)_"/>
    <w:basedOn w:val="Fuentedeprrafopredeter"/>
    <w:link w:val="Cuerpodeltexto1590"/>
    <w:rPr>
      <w:rFonts w:ascii="Arial" w:eastAsia="Arial" w:hAnsi="Arial" w:cs="Arial"/>
      <w:b w:val="0"/>
      <w:bCs w:val="0"/>
      <w:i w:val="0"/>
      <w:iCs w:val="0"/>
      <w:smallCaps w:val="0"/>
      <w:strike w:val="0"/>
      <w:sz w:val="8"/>
      <w:szCs w:val="8"/>
      <w:u w:val="none"/>
    </w:rPr>
  </w:style>
  <w:style w:type="character" w:customStyle="1" w:styleId="Cuerpodeltexto1591">
    <w:name w:val="Cuerpo del texto (159)"/>
    <w:basedOn w:val="Cuerpodeltexto159"/>
    <w:rPr>
      <w:rFonts w:ascii="Arial" w:eastAsia="Arial" w:hAnsi="Arial" w:cs="Arial"/>
      <w:b w:val="0"/>
      <w:bCs w:val="0"/>
      <w:i w:val="0"/>
      <w:iCs w:val="0"/>
      <w:smallCaps w:val="0"/>
      <w:strike w:val="0"/>
      <w:color w:val="000000"/>
      <w:spacing w:val="0"/>
      <w:w w:val="100"/>
      <w:position w:val="0"/>
      <w:sz w:val="8"/>
      <w:szCs w:val="8"/>
      <w:u w:val="none"/>
      <w:lang w:val="es-ES" w:eastAsia="es-ES" w:bidi="es-ES"/>
    </w:rPr>
  </w:style>
  <w:style w:type="character" w:customStyle="1" w:styleId="Cuerpodeltexto159Calibri5ptoCursivaEspaciado1pto">
    <w:name w:val="Cuerpo del texto (159) + Calibri;5 pto;Cursiva;Espaciado 1 pto"/>
    <w:basedOn w:val="Cuerpodeltexto159"/>
    <w:rPr>
      <w:rFonts w:ascii="Calibri" w:eastAsia="Calibri" w:hAnsi="Calibri" w:cs="Calibri"/>
      <w:b w:val="0"/>
      <w:bCs w:val="0"/>
      <w:i/>
      <w:iCs/>
      <w:smallCaps w:val="0"/>
      <w:strike w:val="0"/>
      <w:color w:val="000000"/>
      <w:spacing w:val="20"/>
      <w:w w:val="100"/>
      <w:position w:val="0"/>
      <w:sz w:val="10"/>
      <w:szCs w:val="10"/>
      <w:u w:val="none"/>
      <w:lang w:val="es-ES" w:eastAsia="es-ES" w:bidi="es-ES"/>
    </w:rPr>
  </w:style>
  <w:style w:type="character" w:customStyle="1" w:styleId="Cuerpodeltexto1596pto">
    <w:name w:val="Cuerpo del texto (159) + 6 pto"/>
    <w:basedOn w:val="Cuerpodeltexto159"/>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Cuerpodeltexto52">
    <w:name w:val="Cuerpo del texto (52)_"/>
    <w:basedOn w:val="Fuentedeprrafopredeter"/>
    <w:link w:val="Cuerpodeltexto520"/>
    <w:rPr>
      <w:rFonts w:ascii="Arial" w:eastAsia="Arial" w:hAnsi="Arial" w:cs="Arial"/>
      <w:b w:val="0"/>
      <w:bCs w:val="0"/>
      <w:i w:val="0"/>
      <w:iCs w:val="0"/>
      <w:smallCaps w:val="0"/>
      <w:strike w:val="0"/>
      <w:sz w:val="15"/>
      <w:szCs w:val="15"/>
      <w:u w:val="none"/>
    </w:rPr>
  </w:style>
  <w:style w:type="character" w:customStyle="1" w:styleId="Cuerpodeltexto7">
    <w:name w:val="Cuerpo del texto (7)_"/>
    <w:basedOn w:val="Fuentedeprrafopredeter"/>
    <w:link w:val="Cuerpodeltexto71"/>
    <w:rPr>
      <w:rFonts w:ascii="Arial" w:eastAsia="Arial" w:hAnsi="Arial" w:cs="Arial"/>
      <w:b/>
      <w:bCs/>
      <w:i w:val="0"/>
      <w:iCs w:val="0"/>
      <w:smallCaps w:val="0"/>
      <w:strike w:val="0"/>
      <w:sz w:val="19"/>
      <w:szCs w:val="19"/>
      <w:u w:val="none"/>
    </w:rPr>
  </w:style>
  <w:style w:type="paragraph" w:customStyle="1" w:styleId="Cuerpodeltexto700">
    <w:name w:val="Cuerpo del texto (70)"/>
    <w:basedOn w:val="Normal"/>
    <w:link w:val="Cuerpodeltexto70"/>
    <w:pPr>
      <w:shd w:val="clear" w:color="auto" w:fill="FFFFFF"/>
      <w:spacing w:line="256" w:lineRule="exact"/>
      <w:ind w:hanging="720"/>
      <w:jc w:val="both"/>
    </w:pPr>
    <w:rPr>
      <w:rFonts w:ascii="Arial" w:eastAsia="Arial" w:hAnsi="Arial" w:cs="Arial"/>
      <w:b/>
      <w:bCs/>
      <w:sz w:val="21"/>
      <w:szCs w:val="21"/>
    </w:rPr>
  </w:style>
  <w:style w:type="paragraph" w:customStyle="1" w:styleId="Cuerpodeltexto120">
    <w:name w:val="Cuerpo del texto (12)"/>
    <w:basedOn w:val="Normal"/>
    <w:link w:val="Cuerpodeltexto12"/>
    <w:pPr>
      <w:shd w:val="clear" w:color="auto" w:fill="FFFFFF"/>
      <w:spacing w:before="180" w:after="180" w:line="240" w:lineRule="exact"/>
      <w:ind w:hanging="360"/>
    </w:pPr>
    <w:rPr>
      <w:rFonts w:ascii="Arial" w:eastAsia="Arial" w:hAnsi="Arial" w:cs="Arial"/>
      <w:b/>
      <w:bCs/>
      <w:i/>
      <w:iCs/>
      <w:sz w:val="20"/>
      <w:szCs w:val="20"/>
    </w:rPr>
  </w:style>
  <w:style w:type="paragraph" w:customStyle="1" w:styleId="Cuerpodeltexto400">
    <w:name w:val="Cuerpo del texto (40)"/>
    <w:basedOn w:val="Normal"/>
    <w:link w:val="Cuerpodeltexto40"/>
    <w:pPr>
      <w:shd w:val="clear" w:color="auto" w:fill="FFFFFF"/>
      <w:spacing w:before="180" w:after="180" w:line="250" w:lineRule="exact"/>
      <w:jc w:val="both"/>
    </w:pPr>
    <w:rPr>
      <w:rFonts w:ascii="Arial" w:eastAsia="Arial" w:hAnsi="Arial" w:cs="Arial"/>
      <w:b/>
      <w:bCs/>
      <w:i/>
      <w:iCs/>
      <w:sz w:val="22"/>
      <w:szCs w:val="22"/>
    </w:rPr>
  </w:style>
  <w:style w:type="paragraph" w:customStyle="1" w:styleId="Cuerpodeltexto1590">
    <w:name w:val="Cuerpo del texto (159)"/>
    <w:basedOn w:val="Normal"/>
    <w:link w:val="Cuerpodeltexto159"/>
    <w:pPr>
      <w:shd w:val="clear" w:color="auto" w:fill="FFFFFF"/>
      <w:spacing w:after="180" w:line="0" w:lineRule="atLeast"/>
      <w:jc w:val="both"/>
    </w:pPr>
    <w:rPr>
      <w:rFonts w:ascii="Arial" w:eastAsia="Arial" w:hAnsi="Arial" w:cs="Arial"/>
      <w:sz w:val="8"/>
      <w:szCs w:val="8"/>
    </w:rPr>
  </w:style>
  <w:style w:type="paragraph" w:customStyle="1" w:styleId="Cuerpodeltexto520">
    <w:name w:val="Cuerpo del texto (52)"/>
    <w:basedOn w:val="Normal"/>
    <w:link w:val="Cuerpodeltexto52"/>
    <w:pPr>
      <w:shd w:val="clear" w:color="auto" w:fill="FFFFFF"/>
      <w:spacing w:before="480" w:line="0" w:lineRule="atLeast"/>
    </w:pPr>
    <w:rPr>
      <w:rFonts w:ascii="Arial" w:eastAsia="Arial" w:hAnsi="Arial" w:cs="Arial"/>
      <w:sz w:val="15"/>
      <w:szCs w:val="15"/>
    </w:rPr>
  </w:style>
  <w:style w:type="paragraph" w:customStyle="1" w:styleId="Cuerpodeltexto71">
    <w:name w:val="Cuerpo del texto (7)"/>
    <w:basedOn w:val="Normal"/>
    <w:link w:val="Cuerpodeltexto7"/>
    <w:pPr>
      <w:shd w:val="clear" w:color="auto" w:fill="FFFFFF"/>
      <w:spacing w:before="180" w:line="230" w:lineRule="exact"/>
      <w:jc w:val="both"/>
    </w:pPr>
    <w:rPr>
      <w:rFonts w:ascii="Arial" w:eastAsia="Arial" w:hAnsi="Arial" w:cs="Arial"/>
      <w:b/>
      <w:bCs/>
      <w:sz w:val="19"/>
      <w:szCs w:val="19"/>
    </w:rPr>
  </w:style>
  <w:style w:type="paragraph" w:styleId="Sinespaciado">
    <w:name w:val="No Spacing"/>
    <w:uiPriority w:val="1"/>
    <w:qFormat/>
    <w:rsid w:val="00F30F25"/>
    <w:rPr>
      <w:color w:val="000000"/>
    </w:rPr>
  </w:style>
  <w:style w:type="character" w:styleId="Mencinsinresolver">
    <w:name w:val="Unresolved Mention"/>
    <w:basedOn w:val="Fuentedeprrafopredeter"/>
    <w:uiPriority w:val="99"/>
    <w:semiHidden/>
    <w:unhideWhenUsed/>
    <w:rsid w:val="00F3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6637</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Steven Espinel Laverde</dc:creator>
  <cp:keywords/>
  <cp:lastModifiedBy>Microsoft Office User</cp:lastModifiedBy>
  <cp:revision>2</cp:revision>
  <dcterms:created xsi:type="dcterms:W3CDTF">2022-03-22T19:22:00Z</dcterms:created>
  <dcterms:modified xsi:type="dcterms:W3CDTF">2022-03-22T19:22:00Z</dcterms:modified>
</cp:coreProperties>
</file>