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84B2" w14:textId="1EFD3FEA" w:rsidR="00CA6C26" w:rsidRPr="00CC279E" w:rsidRDefault="00556112" w:rsidP="00CC279E">
      <w:pPr>
        <w:pStyle w:val="Sinespaciado"/>
        <w:jc w:val="both"/>
        <w:rPr>
          <w:rFonts w:ascii="Verdana" w:hAnsi="Verdana"/>
          <w:b/>
          <w:bCs/>
        </w:rPr>
      </w:pPr>
      <w:bookmarkStart w:id="0" w:name="bookmark0"/>
      <w:bookmarkStart w:id="1" w:name="_GoBack"/>
      <w:bookmarkEnd w:id="1"/>
      <w:r w:rsidRPr="00CC279E">
        <w:rPr>
          <w:rFonts w:ascii="Verdana" w:hAnsi="Verdana"/>
          <w:b/>
          <w:bCs/>
        </w:rPr>
        <w:t>OFICIO 220-158319 DEL 19 DE JULIO DE 2022</w:t>
      </w:r>
      <w:bookmarkEnd w:id="0"/>
    </w:p>
    <w:p w14:paraId="6F7DCC4C" w14:textId="77777777" w:rsidR="00CC279E" w:rsidRDefault="00CC279E" w:rsidP="00CC279E">
      <w:pPr>
        <w:pStyle w:val="Sinespaciado"/>
        <w:jc w:val="both"/>
        <w:rPr>
          <w:rFonts w:ascii="Verdana" w:hAnsi="Verdana"/>
          <w:b/>
          <w:bCs/>
        </w:rPr>
      </w:pPr>
      <w:r w:rsidRPr="00CC279E">
        <w:rPr>
          <w:rFonts w:ascii="Verdana" w:hAnsi="Verdana"/>
          <w:b/>
          <w:bCs/>
        </w:rPr>
        <w:t>SUPERINTENDENCIA DE SOCIEDADES</w:t>
      </w:r>
      <w:bookmarkStart w:id="2" w:name="bookmark1"/>
    </w:p>
    <w:p w14:paraId="2E3DCA58" w14:textId="77777777" w:rsidR="00CC279E" w:rsidRDefault="00CC279E" w:rsidP="00CC279E">
      <w:pPr>
        <w:pStyle w:val="Sinespaciado"/>
        <w:jc w:val="both"/>
        <w:rPr>
          <w:rFonts w:ascii="Verdana" w:hAnsi="Verdana"/>
          <w:b/>
          <w:bCs/>
        </w:rPr>
      </w:pPr>
    </w:p>
    <w:p w14:paraId="7D5873C2" w14:textId="48137A0B" w:rsidR="00CA6C26" w:rsidRPr="00CC279E" w:rsidRDefault="00556112" w:rsidP="00CC279E">
      <w:pPr>
        <w:pStyle w:val="Sinespaciado"/>
        <w:jc w:val="both"/>
        <w:rPr>
          <w:rFonts w:ascii="Verdana" w:hAnsi="Verdana"/>
          <w:b/>
          <w:bCs/>
        </w:rPr>
      </w:pPr>
      <w:r w:rsidRPr="00CC279E">
        <w:rPr>
          <w:rFonts w:ascii="Verdana" w:hAnsi="Verdana"/>
          <w:b/>
          <w:bCs/>
        </w:rPr>
        <w:t>ASUNTO: ALGUNOS ASPECTOS RELACIONADOS CON LA IMPLEMENTACIÓN DEL SAGRILAFT.</w:t>
      </w:r>
      <w:bookmarkEnd w:id="2"/>
    </w:p>
    <w:p w14:paraId="7171EED4" w14:textId="77777777" w:rsidR="00CC279E" w:rsidRDefault="00CC279E" w:rsidP="00CC279E">
      <w:pPr>
        <w:pStyle w:val="Sinespaciado"/>
        <w:jc w:val="both"/>
        <w:rPr>
          <w:rFonts w:ascii="Verdana" w:hAnsi="Verdana"/>
        </w:rPr>
      </w:pPr>
    </w:p>
    <w:p w14:paraId="455DC42D" w14:textId="13885D5A" w:rsidR="00CA6C26" w:rsidRPr="00CC279E" w:rsidRDefault="00556112" w:rsidP="00CC279E">
      <w:pPr>
        <w:pStyle w:val="Sinespaciado"/>
        <w:jc w:val="both"/>
        <w:rPr>
          <w:rFonts w:ascii="Verdana" w:hAnsi="Verdana"/>
        </w:rPr>
      </w:pPr>
      <w:r w:rsidRPr="00CC279E">
        <w:rPr>
          <w:rFonts w:ascii="Verdana" w:hAnsi="Verdana"/>
        </w:rPr>
        <w:t xml:space="preserve">Me refiero a su comunicación radicada con el número de la referencia, mediante la cual, previa las </w:t>
      </w:r>
      <w:r w:rsidRPr="00CC279E">
        <w:rPr>
          <w:rFonts w:ascii="Verdana" w:hAnsi="Verdana"/>
        </w:rPr>
        <w:t>consideraciones allí expuestas, formula una consulta relacionada con el programa de autocontrol y gestión del riesgo integral LA/FT/FPADM de la Superintendencia de Sociedades, en los siguientes términos:</w:t>
      </w:r>
    </w:p>
    <w:p w14:paraId="5F259782" w14:textId="77777777" w:rsidR="00CC279E" w:rsidRDefault="00CC279E" w:rsidP="00CC279E">
      <w:pPr>
        <w:pStyle w:val="Sinespaciado"/>
        <w:jc w:val="both"/>
        <w:rPr>
          <w:rFonts w:ascii="Verdana" w:hAnsi="Verdana"/>
        </w:rPr>
      </w:pPr>
    </w:p>
    <w:p w14:paraId="393BBF00" w14:textId="0514883B" w:rsidR="00CA6C26" w:rsidRPr="00CC279E" w:rsidRDefault="00CC279E" w:rsidP="00CC279E">
      <w:pPr>
        <w:pStyle w:val="Sinespaciado"/>
        <w:ind w:left="708"/>
        <w:jc w:val="both"/>
        <w:rPr>
          <w:rFonts w:ascii="Verdana" w:hAnsi="Verdana"/>
        </w:rPr>
      </w:pPr>
      <w:r>
        <w:rPr>
          <w:rFonts w:ascii="Verdana" w:hAnsi="Verdana"/>
        </w:rPr>
        <w:t>“</w:t>
      </w:r>
      <w:r w:rsidRPr="00CC279E">
        <w:rPr>
          <w:rFonts w:ascii="Verdana" w:hAnsi="Verdana"/>
        </w:rPr>
        <w:t>¿Puede considerarse que los soportes adjuntados por los usuarios al sistema RADIAN para dar cumplimiento al numeral 3 del Artículo 2.2.2.53.8. del Decreto 1154 de 2020 son suficientes para mitigar el riesgo LA/FT/FPADM y proceder con el pago de las facturas sin adelantar el proceso de debida diligencia?”</w:t>
      </w:r>
    </w:p>
    <w:p w14:paraId="432DB8FF" w14:textId="77777777" w:rsidR="00CC279E" w:rsidRDefault="00CC279E" w:rsidP="00CC279E">
      <w:pPr>
        <w:pStyle w:val="Sinespaciado"/>
        <w:jc w:val="both"/>
        <w:rPr>
          <w:rFonts w:ascii="Verdana" w:hAnsi="Verdana"/>
        </w:rPr>
      </w:pPr>
    </w:p>
    <w:p w14:paraId="441B35DF" w14:textId="7FBAFAA0" w:rsidR="00CA6C26" w:rsidRPr="00CC279E" w:rsidRDefault="00556112" w:rsidP="00CC279E">
      <w:pPr>
        <w:pStyle w:val="Sinespaciado"/>
        <w:jc w:val="both"/>
        <w:rPr>
          <w:rFonts w:ascii="Verdana" w:hAnsi="Verdana"/>
        </w:rPr>
      </w:pPr>
      <w:r w:rsidRPr="00CC279E">
        <w:rPr>
          <w:rFonts w:ascii="Verdana" w:hAnsi="Verdana"/>
        </w:rPr>
        <w:t>Previamente a responder sus inquietudes, debe señalarse que, en atención al derecho de petición en la modalidad de consulta, la Superintendencia de Sociedades con fundamento en los artículos 14 y 28 del Código de Procedimiento Administrativo y de lo Conte</w:t>
      </w:r>
      <w:r w:rsidRPr="00CC279E">
        <w:rPr>
          <w:rFonts w:ascii="Verdana" w:hAnsi="Verdana"/>
        </w:rPr>
        <w:t>ncioso Administrativo, emite conceptos de carácter general y abstracto sobre las materias a su cargo, y sus respuestas a las consultas no son vinculantes ni comprometen la responsabilidad de la entidad.</w:t>
      </w:r>
    </w:p>
    <w:p w14:paraId="585C26E8" w14:textId="77777777" w:rsidR="00CC279E" w:rsidRDefault="00CC279E" w:rsidP="00CC279E">
      <w:pPr>
        <w:pStyle w:val="Sinespaciado"/>
        <w:jc w:val="both"/>
        <w:rPr>
          <w:rFonts w:ascii="Verdana" w:hAnsi="Verdana"/>
        </w:rPr>
      </w:pPr>
    </w:p>
    <w:p w14:paraId="62EE81CE" w14:textId="4C1EE5A1" w:rsidR="00CA6C26" w:rsidRPr="00CC279E" w:rsidRDefault="00556112" w:rsidP="00CC279E">
      <w:pPr>
        <w:pStyle w:val="Sinespaciado"/>
        <w:jc w:val="both"/>
        <w:rPr>
          <w:rFonts w:ascii="Verdana" w:hAnsi="Verdana"/>
        </w:rPr>
      </w:pPr>
      <w:r w:rsidRPr="00CC279E">
        <w:rPr>
          <w:rFonts w:ascii="Verdana" w:hAnsi="Verdana"/>
        </w:rPr>
        <w:t>Con el alcance indicado, éste Despacho procede a dar</w:t>
      </w:r>
      <w:r w:rsidRPr="00CC279E">
        <w:rPr>
          <w:rFonts w:ascii="Verdana" w:hAnsi="Verdana"/>
        </w:rPr>
        <w:t xml:space="preserve"> respuesta a su consulta en los siguientes términos:</w:t>
      </w:r>
    </w:p>
    <w:p w14:paraId="4FA12E47" w14:textId="77777777" w:rsidR="00CC279E" w:rsidRDefault="00CC279E" w:rsidP="00CC279E">
      <w:pPr>
        <w:pStyle w:val="Sinespaciado"/>
        <w:jc w:val="both"/>
        <w:rPr>
          <w:rFonts w:ascii="Verdana" w:hAnsi="Verdana"/>
        </w:rPr>
      </w:pPr>
    </w:p>
    <w:p w14:paraId="72F694D9" w14:textId="624D6ED1" w:rsidR="00CA6C26" w:rsidRPr="00CC279E" w:rsidRDefault="00556112" w:rsidP="00CC279E">
      <w:pPr>
        <w:pStyle w:val="Sinespaciado"/>
        <w:jc w:val="both"/>
        <w:rPr>
          <w:rFonts w:ascii="Verdana" w:hAnsi="Verdana"/>
        </w:rPr>
      </w:pPr>
      <w:r w:rsidRPr="00CC279E">
        <w:rPr>
          <w:rFonts w:ascii="Verdana" w:hAnsi="Verdana"/>
        </w:rPr>
        <w:t>El Capítulo X de la Circular Básica Jurídica de la Superintendencia de Sociedades establece los siguiente:</w:t>
      </w:r>
    </w:p>
    <w:p w14:paraId="4670D781" w14:textId="77777777" w:rsidR="00CC279E" w:rsidRDefault="00CC279E" w:rsidP="00CC279E">
      <w:pPr>
        <w:pStyle w:val="Sinespaciado"/>
        <w:jc w:val="both"/>
        <w:rPr>
          <w:rFonts w:ascii="Verdana" w:hAnsi="Verdana"/>
        </w:rPr>
      </w:pPr>
    </w:p>
    <w:p w14:paraId="78B940F0" w14:textId="6361ADEC" w:rsidR="00CA6C26" w:rsidRPr="00CC279E" w:rsidRDefault="00CC279E" w:rsidP="00CC279E">
      <w:pPr>
        <w:pStyle w:val="Sinespaciado"/>
        <w:ind w:left="708"/>
        <w:jc w:val="both"/>
        <w:rPr>
          <w:rFonts w:ascii="Verdana" w:hAnsi="Verdana"/>
        </w:rPr>
      </w:pPr>
      <w:r>
        <w:rPr>
          <w:rFonts w:ascii="Verdana" w:hAnsi="Verdana"/>
        </w:rPr>
        <w:t>“</w:t>
      </w:r>
      <w:r w:rsidRPr="00CC279E">
        <w:rPr>
          <w:rFonts w:ascii="Verdana" w:hAnsi="Verdana"/>
        </w:rPr>
        <w:t>(...)</w:t>
      </w:r>
    </w:p>
    <w:p w14:paraId="5B34E955" w14:textId="77777777" w:rsidR="00CC279E" w:rsidRDefault="00CC279E" w:rsidP="00CC279E">
      <w:pPr>
        <w:pStyle w:val="Sinespaciado"/>
        <w:ind w:left="708"/>
        <w:jc w:val="both"/>
        <w:rPr>
          <w:rFonts w:ascii="Verdana" w:hAnsi="Verdana"/>
        </w:rPr>
      </w:pPr>
      <w:bookmarkStart w:id="3" w:name="bookmark2"/>
    </w:p>
    <w:p w14:paraId="75FD3DFB" w14:textId="02254CFA" w:rsidR="00CA6C26" w:rsidRPr="00CC279E" w:rsidRDefault="00CC279E" w:rsidP="00CC279E">
      <w:pPr>
        <w:pStyle w:val="Sinespaciado"/>
        <w:ind w:left="708"/>
        <w:jc w:val="both"/>
        <w:rPr>
          <w:rFonts w:ascii="Verdana" w:hAnsi="Verdana"/>
          <w:b/>
          <w:bCs/>
        </w:rPr>
      </w:pPr>
      <w:r w:rsidRPr="00CC279E">
        <w:rPr>
          <w:rFonts w:ascii="Verdana" w:hAnsi="Verdana"/>
          <w:b/>
          <w:bCs/>
        </w:rPr>
        <w:t>4. Ámbito de aplicación del Régimen de Autocontrol y Gestión del Riesgo Integral LA/FT/FPADM</w:t>
      </w:r>
      <w:bookmarkEnd w:id="3"/>
    </w:p>
    <w:p w14:paraId="594B964B" w14:textId="77777777" w:rsidR="00CC279E" w:rsidRDefault="00CC279E" w:rsidP="00CC279E">
      <w:pPr>
        <w:pStyle w:val="Sinespaciado"/>
        <w:ind w:left="708"/>
        <w:jc w:val="both"/>
        <w:rPr>
          <w:rFonts w:ascii="Verdana" w:hAnsi="Verdana"/>
        </w:rPr>
      </w:pPr>
    </w:p>
    <w:p w14:paraId="0F3FBDB3" w14:textId="6C06BB47" w:rsidR="00CA6C26" w:rsidRPr="00CC279E" w:rsidRDefault="00556112" w:rsidP="00CC279E">
      <w:pPr>
        <w:pStyle w:val="Sinespaciado"/>
        <w:ind w:left="708"/>
        <w:jc w:val="both"/>
        <w:rPr>
          <w:rFonts w:ascii="Verdana" w:hAnsi="Verdana"/>
        </w:rPr>
      </w:pPr>
      <w:r w:rsidRPr="00CC279E">
        <w:rPr>
          <w:rFonts w:ascii="Verdana" w:hAnsi="Verdana"/>
        </w:rPr>
        <w:t>Están obligadas a dar aplicación al Capítulo X:</w:t>
      </w:r>
    </w:p>
    <w:p w14:paraId="5C7EE593" w14:textId="77777777" w:rsidR="00CC279E" w:rsidRDefault="00CC279E" w:rsidP="00CC279E">
      <w:pPr>
        <w:pStyle w:val="Sinespaciado"/>
        <w:ind w:left="708"/>
        <w:jc w:val="both"/>
        <w:rPr>
          <w:rFonts w:ascii="Verdana" w:hAnsi="Verdana"/>
        </w:rPr>
      </w:pPr>
    </w:p>
    <w:p w14:paraId="1B5D24B7" w14:textId="446D630D" w:rsidR="00CA6C26" w:rsidRPr="00CC279E" w:rsidRDefault="00CC279E" w:rsidP="00CC279E">
      <w:pPr>
        <w:pStyle w:val="Sinespaciado"/>
        <w:ind w:left="708"/>
        <w:jc w:val="both"/>
        <w:rPr>
          <w:rFonts w:ascii="Verdana" w:hAnsi="Verdana"/>
        </w:rPr>
      </w:pPr>
      <w:r w:rsidRPr="00CC279E">
        <w:rPr>
          <w:rFonts w:ascii="Verdana" w:hAnsi="Verdana"/>
          <w:b/>
          <w:bCs/>
        </w:rPr>
        <w:t>4.1.</w:t>
      </w:r>
      <w:r>
        <w:rPr>
          <w:rFonts w:ascii="Verdana" w:hAnsi="Verdana"/>
        </w:rPr>
        <w:t xml:space="preserve"> </w:t>
      </w:r>
      <w:r w:rsidRPr="00CC279E">
        <w:rPr>
          <w:rFonts w:ascii="Verdana" w:hAnsi="Verdana"/>
        </w:rPr>
        <w:t>Las Empresas</w:t>
      </w:r>
      <w:r w:rsidRPr="00CC279E">
        <w:rPr>
          <w:rFonts w:ascii="Verdana" w:hAnsi="Verdana"/>
          <w:vertAlign w:val="superscript"/>
        </w:rPr>
        <w:footnoteReference w:id="1"/>
      </w:r>
      <w:r w:rsidRPr="00CC279E">
        <w:rPr>
          <w:rFonts w:ascii="Verdana" w:hAnsi="Verdana"/>
        </w:rPr>
        <w:t xml:space="preserve"> sujetas a la vigilancia o al control que </w:t>
      </w:r>
      <w:r w:rsidRPr="00CC279E">
        <w:rPr>
          <w:rFonts w:ascii="Verdana" w:hAnsi="Verdana"/>
        </w:rPr>
        <w:lastRenderedPageBreak/>
        <w:t>ejerce la Superintendencia de Sociedades que hubieren obtenido Ingresos Totales o tenido Activos iguales o superiores a cuarenta mil (40.000) SMLMV, con corte al 31 de diciembre del año inmediatamente anterior.</w:t>
      </w:r>
    </w:p>
    <w:p w14:paraId="5F564C28" w14:textId="613E88AC" w:rsidR="00CA6C26" w:rsidRPr="00CC279E" w:rsidRDefault="00556112" w:rsidP="00CC279E">
      <w:pPr>
        <w:pStyle w:val="Sinespaciado"/>
        <w:ind w:left="708"/>
        <w:jc w:val="both"/>
        <w:rPr>
          <w:rFonts w:ascii="Verdana" w:hAnsi="Verdana"/>
        </w:rPr>
      </w:pPr>
      <w:r w:rsidRPr="00CC279E">
        <w:rPr>
          <w:rFonts w:ascii="Verdana" w:hAnsi="Verdana"/>
        </w:rPr>
        <w:t>Estas Empresas deberán dar cumplimiento a lo dispuesto en el numeral 5 del presente Capítulo X (SAGRILAFT).</w:t>
      </w:r>
    </w:p>
    <w:p w14:paraId="77F59D50" w14:textId="77777777" w:rsidR="00CC279E" w:rsidRDefault="00CC279E" w:rsidP="00CC279E">
      <w:pPr>
        <w:pStyle w:val="Sinespaciado"/>
        <w:ind w:left="708"/>
        <w:jc w:val="both"/>
        <w:rPr>
          <w:rFonts w:ascii="Verdana" w:hAnsi="Verdana"/>
        </w:rPr>
      </w:pPr>
    </w:p>
    <w:p w14:paraId="0CB485E8" w14:textId="0CD8CAE6" w:rsidR="00CA6C26" w:rsidRPr="00CC279E" w:rsidRDefault="00CC279E" w:rsidP="00CC279E">
      <w:pPr>
        <w:pStyle w:val="Sinespaciado"/>
        <w:ind w:left="708"/>
        <w:jc w:val="both"/>
        <w:rPr>
          <w:rFonts w:ascii="Verdana" w:hAnsi="Verdana"/>
        </w:rPr>
      </w:pPr>
      <w:r w:rsidRPr="00CC279E">
        <w:rPr>
          <w:rFonts w:ascii="Verdana" w:hAnsi="Verdana"/>
          <w:b/>
          <w:bCs/>
        </w:rPr>
        <w:t>4.2.</w:t>
      </w:r>
      <w:r>
        <w:rPr>
          <w:rFonts w:ascii="Verdana" w:hAnsi="Verdana"/>
        </w:rPr>
        <w:t xml:space="preserve"> </w:t>
      </w:r>
      <w:r w:rsidRPr="00CC279E">
        <w:rPr>
          <w:rFonts w:ascii="Verdana" w:hAnsi="Verdana"/>
        </w:rPr>
        <w:t>Las Empresas</w:t>
      </w:r>
      <w:r w:rsidRPr="00CC279E">
        <w:rPr>
          <w:rFonts w:ascii="Verdana" w:hAnsi="Verdana"/>
          <w:vertAlign w:val="superscript"/>
        </w:rPr>
        <w:footnoteReference w:id="2"/>
      </w:r>
      <w:r w:rsidRPr="00CC279E">
        <w:rPr>
          <w:rFonts w:ascii="Verdana" w:hAnsi="Verdana"/>
        </w:rPr>
        <w:t xml:space="preserve"> que pertenezcan a cualquiera de los sectores que se señalan a continuación, siempre y cuando cumplan con todos los requisitos que se indican para el respectivo sector, deberán dar cumplimiento a lo dispuesto en el numeral 5 del presente Capítulo X (SAGRILAFT):</w:t>
      </w:r>
    </w:p>
    <w:p w14:paraId="57E21B6F" w14:textId="77777777" w:rsidR="00CC279E" w:rsidRDefault="00CC279E" w:rsidP="00CC279E">
      <w:pPr>
        <w:pStyle w:val="Sinespaciado"/>
        <w:ind w:left="708"/>
        <w:jc w:val="both"/>
        <w:rPr>
          <w:rFonts w:ascii="Verdana" w:hAnsi="Verdana"/>
        </w:rPr>
      </w:pPr>
      <w:bookmarkStart w:id="4" w:name="bookmark3"/>
    </w:p>
    <w:p w14:paraId="0481D3ED" w14:textId="05D90199" w:rsidR="00CA6C26" w:rsidRPr="00CC279E" w:rsidRDefault="00CC279E" w:rsidP="00CC279E">
      <w:pPr>
        <w:pStyle w:val="Sinespaciado"/>
        <w:ind w:left="708"/>
        <w:jc w:val="both"/>
        <w:rPr>
          <w:rFonts w:ascii="Verdana" w:hAnsi="Verdana"/>
          <w:b/>
          <w:bCs/>
        </w:rPr>
      </w:pPr>
      <w:r w:rsidRPr="00CC279E">
        <w:rPr>
          <w:rFonts w:ascii="Verdana" w:hAnsi="Verdana"/>
          <w:b/>
          <w:bCs/>
        </w:rPr>
        <w:t>4.2.1. Sector de agentes inmobiliarios</w:t>
      </w:r>
      <w:bookmarkEnd w:id="4"/>
    </w:p>
    <w:p w14:paraId="4D5B933E" w14:textId="77777777" w:rsidR="00CC279E" w:rsidRDefault="00CC279E" w:rsidP="00CC279E">
      <w:pPr>
        <w:pStyle w:val="Sinespaciado"/>
        <w:ind w:left="708"/>
        <w:jc w:val="both"/>
        <w:rPr>
          <w:rFonts w:ascii="Verdana" w:hAnsi="Verdana"/>
        </w:rPr>
      </w:pPr>
    </w:p>
    <w:p w14:paraId="12DD51AF" w14:textId="77777777" w:rsidR="00125EEC" w:rsidRDefault="00556112" w:rsidP="00125EEC">
      <w:pPr>
        <w:pStyle w:val="Sinespaciado"/>
        <w:numPr>
          <w:ilvl w:val="0"/>
          <w:numId w:val="18"/>
        </w:numPr>
        <w:jc w:val="both"/>
        <w:rPr>
          <w:rFonts w:ascii="Verdana" w:hAnsi="Verdana"/>
        </w:rPr>
      </w:pPr>
      <w:r w:rsidRPr="00CC279E">
        <w:rPr>
          <w:rFonts w:ascii="Verdana" w:hAnsi="Verdana"/>
        </w:rPr>
        <w:t xml:space="preserve">Que estén </w:t>
      </w:r>
      <w:r w:rsidRPr="00CC279E">
        <w:rPr>
          <w:rFonts w:ascii="Verdana" w:hAnsi="Verdana"/>
        </w:rPr>
        <w:t>sujetas a la vigilancia o al control que ejerce la Superintendencia de Sociedades conforme lo previsto en los artículos 84 y 85 de la Ley 222 de 1995;</w:t>
      </w:r>
    </w:p>
    <w:p w14:paraId="5968702F" w14:textId="77777777" w:rsidR="00125EEC" w:rsidRDefault="00556112" w:rsidP="00125EEC">
      <w:pPr>
        <w:pStyle w:val="Sinespaciado"/>
        <w:numPr>
          <w:ilvl w:val="0"/>
          <w:numId w:val="18"/>
        </w:numPr>
        <w:jc w:val="both"/>
        <w:rPr>
          <w:rFonts w:ascii="Verdana" w:hAnsi="Verdana"/>
        </w:rPr>
      </w:pPr>
      <w:r w:rsidRPr="00125EEC">
        <w:rPr>
          <w:rFonts w:ascii="Verdana" w:hAnsi="Verdana"/>
        </w:rPr>
        <w:t>Que en su objeto social puedan desarrollar la actividad inmobiliaria (entendida como la prestación de ser</w:t>
      </w:r>
      <w:r w:rsidRPr="00125EEC">
        <w:rPr>
          <w:rFonts w:ascii="Verdana" w:hAnsi="Verdana"/>
        </w:rPr>
        <w:t>vicios de intermediación en la compra, venta, permuta o arrendamiento de bienes inmuebles a favor de sus clientes) y que en el año calendario inmediatamente anterior hayan realizado negocios o transacciones en relación con dicha actividad, con personas nat</w:t>
      </w:r>
      <w:r w:rsidRPr="00125EEC">
        <w:rPr>
          <w:rFonts w:ascii="Verdana" w:hAnsi="Verdana"/>
        </w:rPr>
        <w:t>urales o jurídicas nacionales o extranjeras de derecho público o privado iguales o superiores a cien (100) SMLMV;</w:t>
      </w:r>
      <w:r w:rsidR="00125EEC">
        <w:rPr>
          <w:rFonts w:ascii="Verdana" w:hAnsi="Verdana"/>
        </w:rPr>
        <w:t xml:space="preserve"> y</w:t>
      </w:r>
    </w:p>
    <w:p w14:paraId="4CDE659A" w14:textId="732E7C6E" w:rsidR="00CA6C26" w:rsidRPr="00125EEC" w:rsidRDefault="00556112" w:rsidP="00125EEC">
      <w:pPr>
        <w:pStyle w:val="Sinespaciado"/>
        <w:numPr>
          <w:ilvl w:val="0"/>
          <w:numId w:val="18"/>
        </w:numPr>
        <w:jc w:val="both"/>
        <w:rPr>
          <w:rFonts w:ascii="Verdana" w:hAnsi="Verdana"/>
        </w:rPr>
      </w:pPr>
      <w:r w:rsidRPr="00125EEC">
        <w:rPr>
          <w:rFonts w:ascii="Verdana" w:hAnsi="Verdana"/>
        </w:rPr>
        <w:t xml:space="preserve">Que, a 31 de diciembre del año inmediatamente anterior, hubieren obtenido Ingresos Totales iguales o superiores a treinta mil (30.000) </w:t>
      </w:r>
      <w:r w:rsidRPr="00125EEC">
        <w:rPr>
          <w:rFonts w:ascii="Verdana" w:hAnsi="Verdana"/>
        </w:rPr>
        <w:t>SMLMV.</w:t>
      </w:r>
    </w:p>
    <w:p w14:paraId="46C2FAB5" w14:textId="77777777" w:rsidR="00125EEC" w:rsidRDefault="00125EEC" w:rsidP="00CC279E">
      <w:pPr>
        <w:pStyle w:val="Sinespaciado"/>
        <w:ind w:left="708"/>
        <w:jc w:val="both"/>
        <w:rPr>
          <w:rFonts w:ascii="Verdana" w:hAnsi="Verdana"/>
        </w:rPr>
      </w:pPr>
      <w:bookmarkStart w:id="5" w:name="bookmark4"/>
    </w:p>
    <w:p w14:paraId="0AEC9D24" w14:textId="033F1ECC" w:rsidR="00CA6C26" w:rsidRPr="00125EEC" w:rsidRDefault="00125EEC" w:rsidP="00CC279E">
      <w:pPr>
        <w:pStyle w:val="Sinespaciado"/>
        <w:ind w:left="708"/>
        <w:jc w:val="both"/>
        <w:rPr>
          <w:rFonts w:ascii="Verdana" w:hAnsi="Verdana"/>
          <w:b/>
          <w:bCs/>
        </w:rPr>
      </w:pPr>
      <w:r w:rsidRPr="00125EEC">
        <w:rPr>
          <w:rFonts w:ascii="Verdana" w:hAnsi="Verdana"/>
          <w:b/>
          <w:bCs/>
        </w:rPr>
        <w:t>4.2.2. Sector de comercialización de metales preciosos y piedras preciosas</w:t>
      </w:r>
      <w:bookmarkEnd w:id="5"/>
    </w:p>
    <w:p w14:paraId="6F9F9637" w14:textId="77777777" w:rsidR="00125EEC" w:rsidRDefault="00125EEC" w:rsidP="00CC279E">
      <w:pPr>
        <w:pStyle w:val="Sinespaciado"/>
        <w:ind w:left="708"/>
        <w:jc w:val="both"/>
        <w:rPr>
          <w:rFonts w:ascii="Verdana" w:hAnsi="Verdana"/>
        </w:rPr>
      </w:pPr>
    </w:p>
    <w:p w14:paraId="120AA562" w14:textId="77777777" w:rsidR="00125EEC" w:rsidRDefault="00556112" w:rsidP="00125EEC">
      <w:pPr>
        <w:pStyle w:val="Sinespaciado"/>
        <w:numPr>
          <w:ilvl w:val="0"/>
          <w:numId w:val="19"/>
        </w:numPr>
        <w:jc w:val="both"/>
        <w:rPr>
          <w:rFonts w:ascii="Verdana" w:hAnsi="Verdana"/>
        </w:rPr>
      </w:pPr>
      <w:r w:rsidRPr="00CC279E">
        <w:rPr>
          <w:rFonts w:ascii="Verdana" w:hAnsi="Verdana"/>
        </w:rPr>
        <w:t>Que estén sujetas a la vigilancia o al control que ejerce la Superintendencia de Sociedades conforme lo previsto en los artículos 84 y 85 de la Ley 222 de 1995;</w:t>
      </w:r>
    </w:p>
    <w:p w14:paraId="16D6BC55" w14:textId="77777777" w:rsidR="00125EEC" w:rsidRDefault="00556112" w:rsidP="00125EEC">
      <w:pPr>
        <w:pStyle w:val="Sinespaciado"/>
        <w:numPr>
          <w:ilvl w:val="0"/>
          <w:numId w:val="19"/>
        </w:numPr>
        <w:jc w:val="both"/>
        <w:rPr>
          <w:rFonts w:ascii="Verdana" w:hAnsi="Verdana"/>
        </w:rPr>
      </w:pPr>
      <w:r w:rsidRPr="00125EEC">
        <w:rPr>
          <w:rFonts w:ascii="Verdana" w:hAnsi="Verdana"/>
        </w:rPr>
        <w:t>Que se dedi</w:t>
      </w:r>
      <w:r w:rsidRPr="00125EEC">
        <w:rPr>
          <w:rFonts w:ascii="Verdana" w:hAnsi="Verdana"/>
        </w:rPr>
        <w:t>quen habitualmente a la comercialización de metales preciosos y piedras preciosas; y</w:t>
      </w:r>
    </w:p>
    <w:p w14:paraId="6BF57910" w14:textId="21FD8B53" w:rsidR="00CA6C26" w:rsidRPr="00125EEC" w:rsidRDefault="00556112" w:rsidP="00125EEC">
      <w:pPr>
        <w:pStyle w:val="Sinespaciado"/>
        <w:numPr>
          <w:ilvl w:val="0"/>
          <w:numId w:val="19"/>
        </w:numPr>
        <w:jc w:val="both"/>
        <w:rPr>
          <w:rFonts w:ascii="Verdana" w:hAnsi="Verdana"/>
        </w:rPr>
      </w:pPr>
      <w:r w:rsidRPr="00125EEC">
        <w:rPr>
          <w:rFonts w:ascii="Verdana" w:hAnsi="Verdana"/>
        </w:rPr>
        <w:t>Que, a 31 de diciembre del año inmediatamente anterior, hubieren obtenido Ingresos Totales iguales o superiores a treinta mil (30.000) SMLMV.</w:t>
      </w:r>
    </w:p>
    <w:p w14:paraId="75E1FAC7" w14:textId="77777777" w:rsidR="00125EEC" w:rsidRDefault="00125EEC" w:rsidP="00CC279E">
      <w:pPr>
        <w:pStyle w:val="Sinespaciado"/>
        <w:ind w:left="708"/>
        <w:jc w:val="both"/>
        <w:rPr>
          <w:rFonts w:ascii="Verdana" w:hAnsi="Verdana"/>
        </w:rPr>
      </w:pPr>
      <w:bookmarkStart w:id="6" w:name="bookmark5"/>
    </w:p>
    <w:p w14:paraId="43324DAD" w14:textId="626C95D0" w:rsidR="00CA6C26" w:rsidRPr="00125EEC" w:rsidRDefault="00125EEC" w:rsidP="00CC279E">
      <w:pPr>
        <w:pStyle w:val="Sinespaciado"/>
        <w:ind w:left="708"/>
        <w:jc w:val="both"/>
        <w:rPr>
          <w:rFonts w:ascii="Verdana" w:hAnsi="Verdana"/>
          <w:b/>
          <w:bCs/>
        </w:rPr>
      </w:pPr>
      <w:r w:rsidRPr="00125EEC">
        <w:rPr>
          <w:rFonts w:ascii="Verdana" w:hAnsi="Verdana"/>
          <w:b/>
          <w:bCs/>
        </w:rPr>
        <w:t>4.2.3.</w:t>
      </w:r>
      <w:r>
        <w:rPr>
          <w:rFonts w:ascii="Verdana" w:hAnsi="Verdana"/>
          <w:b/>
          <w:bCs/>
        </w:rPr>
        <w:t xml:space="preserve"> </w:t>
      </w:r>
      <w:r w:rsidRPr="00125EEC">
        <w:rPr>
          <w:rFonts w:ascii="Verdana" w:hAnsi="Verdana"/>
          <w:b/>
          <w:bCs/>
        </w:rPr>
        <w:t>Sector de servicios jurídicos</w:t>
      </w:r>
      <w:bookmarkEnd w:id="6"/>
    </w:p>
    <w:p w14:paraId="2316812E" w14:textId="77777777" w:rsidR="00125EEC" w:rsidRDefault="00125EEC" w:rsidP="00CC279E">
      <w:pPr>
        <w:pStyle w:val="Sinespaciado"/>
        <w:ind w:left="708"/>
        <w:jc w:val="both"/>
        <w:rPr>
          <w:rFonts w:ascii="Verdana" w:hAnsi="Verdana"/>
        </w:rPr>
      </w:pPr>
    </w:p>
    <w:p w14:paraId="2E3347FB" w14:textId="77777777" w:rsidR="00125EEC" w:rsidRDefault="00556112" w:rsidP="00125EEC">
      <w:pPr>
        <w:pStyle w:val="Sinespaciado"/>
        <w:numPr>
          <w:ilvl w:val="0"/>
          <w:numId w:val="20"/>
        </w:numPr>
        <w:jc w:val="both"/>
        <w:rPr>
          <w:rFonts w:ascii="Verdana" w:hAnsi="Verdana"/>
        </w:rPr>
      </w:pPr>
      <w:r w:rsidRPr="00CC279E">
        <w:rPr>
          <w:rFonts w:ascii="Verdana" w:hAnsi="Verdana"/>
        </w:rPr>
        <w:t>Que estén sujetas a la vigilancia o al control que ejerce la Superintendencia de Sociedades conforme lo previsto en los artículos 84 y 85 de la Ley 222 de 1995;</w:t>
      </w:r>
    </w:p>
    <w:p w14:paraId="2FFE92B0" w14:textId="77777777" w:rsidR="00125EEC" w:rsidRDefault="00556112" w:rsidP="00125EEC">
      <w:pPr>
        <w:pStyle w:val="Sinespaciado"/>
        <w:numPr>
          <w:ilvl w:val="0"/>
          <w:numId w:val="20"/>
        </w:numPr>
        <w:jc w:val="both"/>
        <w:rPr>
          <w:rFonts w:ascii="Verdana" w:hAnsi="Verdana"/>
        </w:rPr>
      </w:pPr>
      <w:r w:rsidRPr="00125EEC">
        <w:rPr>
          <w:rFonts w:ascii="Verdana" w:hAnsi="Verdana"/>
        </w:rPr>
        <w:t>Que su actividad económica inscrita en el registro mercantil o la actividad económica</w:t>
      </w:r>
      <w:r w:rsidRPr="00125EEC">
        <w:rPr>
          <w:rFonts w:ascii="Verdana" w:hAnsi="Verdana"/>
        </w:rPr>
        <w:t xml:space="preserve"> que genera para la Empresa el mayor Ingreso de Actividad Ordinaria según las normas aplicables, sea la identificada con el código 6910 del CIIU Rev. 4 A.C; y</w:t>
      </w:r>
    </w:p>
    <w:p w14:paraId="54C6C87A" w14:textId="395C964B" w:rsidR="00CA6C26" w:rsidRPr="00125EEC" w:rsidRDefault="00556112" w:rsidP="00125EEC">
      <w:pPr>
        <w:pStyle w:val="Sinespaciado"/>
        <w:numPr>
          <w:ilvl w:val="0"/>
          <w:numId w:val="20"/>
        </w:numPr>
        <w:jc w:val="both"/>
        <w:rPr>
          <w:rFonts w:ascii="Verdana" w:hAnsi="Verdana"/>
        </w:rPr>
      </w:pPr>
      <w:r w:rsidRPr="00125EEC">
        <w:rPr>
          <w:rFonts w:ascii="Verdana" w:hAnsi="Verdana"/>
        </w:rPr>
        <w:t>Que, a 31 de diciembre del año inmediatamente anterior, hubieren obtenido Ingresos Totales iguale</w:t>
      </w:r>
      <w:r w:rsidRPr="00125EEC">
        <w:rPr>
          <w:rFonts w:ascii="Verdana" w:hAnsi="Verdana"/>
        </w:rPr>
        <w:t>s o superiores a treinta mil (30.000) SMLMV.</w:t>
      </w:r>
    </w:p>
    <w:p w14:paraId="59659CA5" w14:textId="77777777" w:rsidR="00125EEC" w:rsidRDefault="00125EEC" w:rsidP="00CC279E">
      <w:pPr>
        <w:pStyle w:val="Sinespaciado"/>
        <w:ind w:left="708"/>
        <w:jc w:val="both"/>
        <w:rPr>
          <w:rFonts w:ascii="Verdana" w:hAnsi="Verdana"/>
        </w:rPr>
      </w:pPr>
      <w:bookmarkStart w:id="7" w:name="bookmark6"/>
    </w:p>
    <w:p w14:paraId="6905C97C" w14:textId="59AAC277" w:rsidR="00CA6C26" w:rsidRPr="00125EEC" w:rsidRDefault="00125EEC" w:rsidP="00CC279E">
      <w:pPr>
        <w:pStyle w:val="Sinespaciado"/>
        <w:ind w:left="708"/>
        <w:jc w:val="both"/>
        <w:rPr>
          <w:rFonts w:ascii="Verdana" w:hAnsi="Verdana"/>
          <w:b/>
          <w:bCs/>
        </w:rPr>
      </w:pPr>
      <w:r w:rsidRPr="00125EEC">
        <w:rPr>
          <w:rFonts w:ascii="Verdana" w:hAnsi="Verdana"/>
          <w:b/>
          <w:bCs/>
        </w:rPr>
        <w:t>4.2.4. Sector de servicios contables</w:t>
      </w:r>
      <w:bookmarkEnd w:id="7"/>
    </w:p>
    <w:p w14:paraId="3DA5F03C" w14:textId="77777777" w:rsidR="00125EEC" w:rsidRDefault="00125EEC" w:rsidP="00CC279E">
      <w:pPr>
        <w:pStyle w:val="Sinespaciado"/>
        <w:ind w:left="708"/>
        <w:jc w:val="both"/>
        <w:rPr>
          <w:rFonts w:ascii="Verdana" w:hAnsi="Verdana"/>
        </w:rPr>
      </w:pPr>
    </w:p>
    <w:p w14:paraId="2E8D6EC9" w14:textId="77777777" w:rsidR="00125EEC" w:rsidRDefault="00556112" w:rsidP="00125EEC">
      <w:pPr>
        <w:pStyle w:val="Sinespaciado"/>
        <w:numPr>
          <w:ilvl w:val="0"/>
          <w:numId w:val="21"/>
        </w:numPr>
        <w:jc w:val="both"/>
        <w:rPr>
          <w:rFonts w:ascii="Verdana" w:hAnsi="Verdana"/>
        </w:rPr>
      </w:pPr>
      <w:r w:rsidRPr="00CC279E">
        <w:rPr>
          <w:rFonts w:ascii="Verdana" w:hAnsi="Verdana"/>
        </w:rPr>
        <w:t>Que estén sujetas a la vigilancia o al control que ejerce la Superintendencia de Sociedades conforme lo previsto en los artículos 84 y 85 de la Ley 222 de 1995;</w:t>
      </w:r>
    </w:p>
    <w:p w14:paraId="0D2AA232" w14:textId="77777777" w:rsidR="00125EEC" w:rsidRDefault="00556112" w:rsidP="00125EEC">
      <w:pPr>
        <w:pStyle w:val="Sinespaciado"/>
        <w:numPr>
          <w:ilvl w:val="0"/>
          <w:numId w:val="21"/>
        </w:numPr>
        <w:jc w:val="both"/>
        <w:rPr>
          <w:rFonts w:ascii="Verdana" w:hAnsi="Verdana"/>
        </w:rPr>
      </w:pPr>
      <w:r w:rsidRPr="00125EEC">
        <w:rPr>
          <w:rFonts w:ascii="Verdana" w:hAnsi="Verdana"/>
        </w:rPr>
        <w:t>Que su acti</w:t>
      </w:r>
      <w:r w:rsidRPr="00125EEC">
        <w:rPr>
          <w:rFonts w:ascii="Verdana" w:hAnsi="Verdana"/>
        </w:rPr>
        <w:t>vidad económica inscrita en el registro mercantil o la actividad económica que genera para la Empresa el mayor Ingreso de Actividad Ordinaria según las normas aplicables, sea la identificada con el código 6920 del CIIU Rev. 4 A.C; y</w:t>
      </w:r>
    </w:p>
    <w:p w14:paraId="57566493" w14:textId="5FA9B8FD" w:rsidR="00CA6C26" w:rsidRPr="00125EEC" w:rsidRDefault="00556112" w:rsidP="00125EEC">
      <w:pPr>
        <w:pStyle w:val="Sinespaciado"/>
        <w:numPr>
          <w:ilvl w:val="0"/>
          <w:numId w:val="21"/>
        </w:numPr>
        <w:jc w:val="both"/>
        <w:rPr>
          <w:rFonts w:ascii="Verdana" w:hAnsi="Verdana"/>
        </w:rPr>
      </w:pPr>
      <w:r w:rsidRPr="00125EEC">
        <w:rPr>
          <w:rFonts w:ascii="Verdana" w:hAnsi="Verdana"/>
        </w:rPr>
        <w:t xml:space="preserve">Que, a 31 de diciembre </w:t>
      </w:r>
      <w:r w:rsidRPr="00125EEC">
        <w:rPr>
          <w:rFonts w:ascii="Verdana" w:hAnsi="Verdana"/>
        </w:rPr>
        <w:t>del año inmediatamente anterior, hubieren obtenido Ingresos Totales iguales o superiores a treinta mil (30.000) SMLMV.</w:t>
      </w:r>
    </w:p>
    <w:p w14:paraId="212D2939" w14:textId="77777777" w:rsidR="00125EEC" w:rsidRDefault="00125EEC" w:rsidP="00CC279E">
      <w:pPr>
        <w:pStyle w:val="Sinespaciado"/>
        <w:ind w:left="708"/>
        <w:jc w:val="both"/>
        <w:rPr>
          <w:rFonts w:ascii="Verdana" w:hAnsi="Verdana"/>
        </w:rPr>
      </w:pPr>
      <w:bookmarkStart w:id="8" w:name="bookmark7"/>
    </w:p>
    <w:p w14:paraId="285D46DA" w14:textId="357D1263" w:rsidR="00CA6C26" w:rsidRPr="00125EEC" w:rsidRDefault="00125EEC" w:rsidP="00CC279E">
      <w:pPr>
        <w:pStyle w:val="Sinespaciado"/>
        <w:ind w:left="708"/>
        <w:jc w:val="both"/>
        <w:rPr>
          <w:rFonts w:ascii="Verdana" w:hAnsi="Verdana"/>
          <w:b/>
          <w:bCs/>
        </w:rPr>
      </w:pPr>
      <w:r w:rsidRPr="00125EEC">
        <w:rPr>
          <w:rFonts w:ascii="Verdana" w:hAnsi="Verdana"/>
          <w:b/>
          <w:bCs/>
        </w:rPr>
        <w:t>4.2.5. Sector de construcción de edificios y obras de ingeniería civil</w:t>
      </w:r>
      <w:bookmarkEnd w:id="8"/>
    </w:p>
    <w:p w14:paraId="52ABD147" w14:textId="77777777" w:rsidR="00125EEC" w:rsidRDefault="00125EEC" w:rsidP="00CC279E">
      <w:pPr>
        <w:pStyle w:val="Sinespaciado"/>
        <w:ind w:left="708"/>
        <w:jc w:val="both"/>
        <w:rPr>
          <w:rFonts w:ascii="Verdana" w:hAnsi="Verdana"/>
        </w:rPr>
      </w:pPr>
    </w:p>
    <w:p w14:paraId="197CD969" w14:textId="77777777" w:rsidR="00125EEC" w:rsidRDefault="00556112" w:rsidP="00125EEC">
      <w:pPr>
        <w:pStyle w:val="Sinespaciado"/>
        <w:numPr>
          <w:ilvl w:val="0"/>
          <w:numId w:val="22"/>
        </w:numPr>
        <w:jc w:val="both"/>
        <w:rPr>
          <w:rFonts w:ascii="Verdana" w:hAnsi="Verdana"/>
        </w:rPr>
      </w:pPr>
      <w:r w:rsidRPr="00CC279E">
        <w:rPr>
          <w:rFonts w:ascii="Verdana" w:hAnsi="Verdana"/>
        </w:rPr>
        <w:t xml:space="preserve">Que estén sujetas a la vigilancia o al control que ejerce la </w:t>
      </w:r>
      <w:r w:rsidRPr="00CC279E">
        <w:rPr>
          <w:rFonts w:ascii="Verdana" w:hAnsi="Verdana"/>
        </w:rPr>
        <w:t>Superintendencia de Sociedades conforme lo previsto en los artículos 84 y 85 de la Ley 222 de 1995;</w:t>
      </w:r>
    </w:p>
    <w:p w14:paraId="126FC677" w14:textId="77777777" w:rsidR="00125EEC" w:rsidRDefault="00556112" w:rsidP="00125EEC">
      <w:pPr>
        <w:pStyle w:val="Sinespaciado"/>
        <w:numPr>
          <w:ilvl w:val="0"/>
          <w:numId w:val="22"/>
        </w:numPr>
        <w:jc w:val="both"/>
        <w:rPr>
          <w:rFonts w:ascii="Verdana" w:hAnsi="Verdana"/>
        </w:rPr>
      </w:pPr>
      <w:r w:rsidRPr="00125EEC">
        <w:rPr>
          <w:rFonts w:ascii="Verdana" w:hAnsi="Verdana"/>
        </w:rPr>
        <w:t>Que su actividad económica inscrita en el registro mercantil o la actividad económica que genera para la Empresa el mayor Ingreso Total según las normas apl</w:t>
      </w:r>
      <w:r w:rsidRPr="00125EEC">
        <w:rPr>
          <w:rFonts w:ascii="Verdana" w:hAnsi="Verdana"/>
        </w:rPr>
        <w:t>icables, sea la identificada con los códigos 4111,4112,4210,4220 o 4290 del CIIU Rev. 4 A.C; y</w:t>
      </w:r>
    </w:p>
    <w:p w14:paraId="42BF5576" w14:textId="11A8C3E4" w:rsidR="00CA6C26" w:rsidRPr="00125EEC" w:rsidRDefault="00556112" w:rsidP="00125EEC">
      <w:pPr>
        <w:pStyle w:val="Sinespaciado"/>
        <w:numPr>
          <w:ilvl w:val="0"/>
          <w:numId w:val="22"/>
        </w:numPr>
        <w:jc w:val="both"/>
        <w:rPr>
          <w:rFonts w:ascii="Verdana" w:hAnsi="Verdana"/>
        </w:rPr>
      </w:pPr>
      <w:r w:rsidRPr="00125EEC">
        <w:rPr>
          <w:rFonts w:ascii="Verdana" w:hAnsi="Verdana"/>
        </w:rPr>
        <w:t>Que, a 31 de diciembre del año inmediatamente anterior, hubieren obtenido Ingresos Totales iguales o superiores a treinta mil (30.000) SMLMV.</w:t>
      </w:r>
    </w:p>
    <w:p w14:paraId="38933614" w14:textId="77777777" w:rsidR="00125EEC" w:rsidRDefault="00125EEC" w:rsidP="00CC279E">
      <w:pPr>
        <w:pStyle w:val="Sinespaciado"/>
        <w:ind w:left="708"/>
        <w:jc w:val="both"/>
        <w:rPr>
          <w:rFonts w:ascii="Verdana" w:hAnsi="Verdana"/>
        </w:rPr>
      </w:pPr>
      <w:bookmarkStart w:id="9" w:name="bookmark8"/>
    </w:p>
    <w:p w14:paraId="413E6C08" w14:textId="2D4C42E2" w:rsidR="00CA6C26" w:rsidRPr="00125EEC" w:rsidRDefault="00125EEC" w:rsidP="00CC279E">
      <w:pPr>
        <w:pStyle w:val="Sinespaciado"/>
        <w:ind w:left="708"/>
        <w:jc w:val="both"/>
        <w:rPr>
          <w:rFonts w:ascii="Verdana" w:hAnsi="Verdana"/>
          <w:b/>
          <w:bCs/>
        </w:rPr>
      </w:pPr>
      <w:r w:rsidRPr="00125EEC">
        <w:rPr>
          <w:rFonts w:ascii="Verdana" w:hAnsi="Verdana"/>
          <w:b/>
          <w:bCs/>
        </w:rPr>
        <w:lastRenderedPageBreak/>
        <w:t>4.2.6. Servicios de Activos Virtuales</w:t>
      </w:r>
      <w:bookmarkEnd w:id="9"/>
    </w:p>
    <w:p w14:paraId="01D12B8F" w14:textId="77777777" w:rsidR="00125EEC" w:rsidRDefault="00125EEC" w:rsidP="00CC279E">
      <w:pPr>
        <w:pStyle w:val="Sinespaciado"/>
        <w:ind w:left="708"/>
        <w:jc w:val="both"/>
        <w:rPr>
          <w:rFonts w:ascii="Verdana" w:hAnsi="Verdana"/>
        </w:rPr>
      </w:pPr>
    </w:p>
    <w:p w14:paraId="12C33DE2" w14:textId="3AD07DA9" w:rsidR="00CA6C26" w:rsidRPr="00CC279E" w:rsidRDefault="00556112" w:rsidP="00125EEC">
      <w:pPr>
        <w:pStyle w:val="Sinespaciado"/>
        <w:numPr>
          <w:ilvl w:val="0"/>
          <w:numId w:val="23"/>
        </w:numPr>
        <w:jc w:val="both"/>
        <w:rPr>
          <w:rFonts w:ascii="Verdana" w:hAnsi="Verdana"/>
        </w:rPr>
      </w:pPr>
      <w:r w:rsidRPr="00CC279E">
        <w:rPr>
          <w:rFonts w:ascii="Verdana" w:hAnsi="Verdana"/>
        </w:rPr>
        <w:t>Que las Empresas realicen, para o en nombre de, otra persona natural o jurídica, una o más de las siguientes actividades u operaciones iguales o superiores (individualmente o en conjunto) a cien (100) SMLMV:</w:t>
      </w:r>
    </w:p>
    <w:p w14:paraId="720FDFB8" w14:textId="77777777" w:rsidR="00125EEC" w:rsidRDefault="00556112" w:rsidP="00125EEC">
      <w:pPr>
        <w:pStyle w:val="Sinespaciado"/>
        <w:numPr>
          <w:ilvl w:val="0"/>
          <w:numId w:val="24"/>
        </w:numPr>
        <w:jc w:val="both"/>
        <w:rPr>
          <w:rFonts w:ascii="Verdana" w:hAnsi="Verdana"/>
        </w:rPr>
      </w:pPr>
      <w:r w:rsidRPr="00CC279E">
        <w:rPr>
          <w:rFonts w:ascii="Verdana" w:hAnsi="Verdana"/>
        </w:rPr>
        <w:t>intercambio entre Activos V</w:t>
      </w:r>
      <w:r w:rsidRPr="00CC279E">
        <w:rPr>
          <w:rFonts w:ascii="Verdana" w:hAnsi="Verdana"/>
        </w:rPr>
        <w:t>irtuales y monedas fiat;</w:t>
      </w:r>
    </w:p>
    <w:p w14:paraId="06837CD9" w14:textId="77777777" w:rsidR="00125EEC" w:rsidRDefault="00556112" w:rsidP="00125EEC">
      <w:pPr>
        <w:pStyle w:val="Sinespaciado"/>
        <w:numPr>
          <w:ilvl w:val="0"/>
          <w:numId w:val="24"/>
        </w:numPr>
        <w:jc w:val="both"/>
        <w:rPr>
          <w:rFonts w:ascii="Verdana" w:hAnsi="Verdana"/>
        </w:rPr>
      </w:pPr>
      <w:r w:rsidRPr="00125EEC">
        <w:rPr>
          <w:rFonts w:ascii="Verdana" w:hAnsi="Verdana"/>
        </w:rPr>
        <w:t>intercambio entre una o más formas de Activos Virtuales;</w:t>
      </w:r>
    </w:p>
    <w:p w14:paraId="60892025" w14:textId="77777777" w:rsidR="00125EEC" w:rsidRDefault="00556112" w:rsidP="00125EEC">
      <w:pPr>
        <w:pStyle w:val="Sinespaciado"/>
        <w:numPr>
          <w:ilvl w:val="0"/>
          <w:numId w:val="24"/>
        </w:numPr>
        <w:jc w:val="both"/>
        <w:rPr>
          <w:rFonts w:ascii="Verdana" w:hAnsi="Verdana"/>
        </w:rPr>
      </w:pPr>
      <w:r w:rsidRPr="00125EEC">
        <w:rPr>
          <w:rFonts w:ascii="Verdana" w:hAnsi="Verdana"/>
        </w:rPr>
        <w:t>transferencia de Activos Virtuales;</w:t>
      </w:r>
    </w:p>
    <w:p w14:paraId="18BB4F36" w14:textId="77777777" w:rsidR="00125EEC" w:rsidRDefault="00556112" w:rsidP="00125EEC">
      <w:pPr>
        <w:pStyle w:val="Sinespaciado"/>
        <w:numPr>
          <w:ilvl w:val="0"/>
          <w:numId w:val="24"/>
        </w:numPr>
        <w:jc w:val="both"/>
        <w:rPr>
          <w:rFonts w:ascii="Verdana" w:hAnsi="Verdana"/>
        </w:rPr>
      </w:pPr>
      <w:r w:rsidRPr="00125EEC">
        <w:rPr>
          <w:rFonts w:ascii="Verdana" w:hAnsi="Verdana"/>
        </w:rPr>
        <w:t>custodia o administración de Activos Virtuales o instrumentos que permitan el control sobre Activos Virtuales;</w:t>
      </w:r>
    </w:p>
    <w:p w14:paraId="3ECB934F" w14:textId="77777777" w:rsidR="00125EEC" w:rsidRDefault="00556112" w:rsidP="00125EEC">
      <w:pPr>
        <w:pStyle w:val="Sinespaciado"/>
        <w:numPr>
          <w:ilvl w:val="0"/>
          <w:numId w:val="24"/>
        </w:numPr>
        <w:jc w:val="both"/>
        <w:rPr>
          <w:rFonts w:ascii="Verdana" w:hAnsi="Verdana"/>
        </w:rPr>
      </w:pPr>
      <w:r w:rsidRPr="00125EEC">
        <w:rPr>
          <w:rFonts w:ascii="Verdana" w:hAnsi="Verdana"/>
        </w:rPr>
        <w:t>participación y provisión d</w:t>
      </w:r>
      <w:r w:rsidRPr="00125EEC">
        <w:rPr>
          <w:rFonts w:ascii="Verdana" w:hAnsi="Verdana"/>
        </w:rPr>
        <w:t>e servicios financieros relacionados con la oferta de un emisor o venta de un Activo Virtual; y</w:t>
      </w:r>
    </w:p>
    <w:p w14:paraId="747A7C80" w14:textId="48A360F6" w:rsidR="00CA6C26" w:rsidRPr="00125EEC" w:rsidRDefault="00556112" w:rsidP="00125EEC">
      <w:pPr>
        <w:pStyle w:val="Sinespaciado"/>
        <w:numPr>
          <w:ilvl w:val="0"/>
          <w:numId w:val="24"/>
        </w:numPr>
        <w:jc w:val="both"/>
        <w:rPr>
          <w:rFonts w:ascii="Verdana" w:hAnsi="Verdana"/>
        </w:rPr>
      </w:pPr>
      <w:r w:rsidRPr="00125EEC">
        <w:rPr>
          <w:rFonts w:ascii="Verdana" w:hAnsi="Verdana"/>
        </w:rPr>
        <w:t>en general, servicios relacionados con Activos Virtuales; y</w:t>
      </w:r>
    </w:p>
    <w:p w14:paraId="1A07243A" w14:textId="6ED554C7" w:rsidR="00CA6C26" w:rsidRPr="00CC279E" w:rsidRDefault="00556112" w:rsidP="00125EEC">
      <w:pPr>
        <w:pStyle w:val="Sinespaciado"/>
        <w:numPr>
          <w:ilvl w:val="0"/>
          <w:numId w:val="23"/>
        </w:numPr>
        <w:jc w:val="both"/>
        <w:rPr>
          <w:rFonts w:ascii="Verdana" w:hAnsi="Verdana"/>
        </w:rPr>
      </w:pPr>
      <w:r w:rsidRPr="00CC279E">
        <w:rPr>
          <w:rFonts w:ascii="Verdana" w:hAnsi="Verdana"/>
        </w:rPr>
        <w:t>Que, a 31 de diciembre del año inmediatamente anterior, hubieren obtenido Ingresos Totales iguales o</w:t>
      </w:r>
      <w:r w:rsidRPr="00CC279E">
        <w:rPr>
          <w:rFonts w:ascii="Verdana" w:hAnsi="Verdana"/>
        </w:rPr>
        <w:t xml:space="preserve"> superiores a tres mil (3.000) SMLMV o tenido Activos iguales o superiores a cinco mil (5.000) SMLMV.</w:t>
      </w:r>
    </w:p>
    <w:p w14:paraId="1F0583F0" w14:textId="77777777" w:rsidR="00CA6C26" w:rsidRPr="00CC279E" w:rsidRDefault="00556112" w:rsidP="00304876">
      <w:pPr>
        <w:pStyle w:val="Sinespaciado"/>
        <w:ind w:left="1068"/>
        <w:jc w:val="both"/>
        <w:rPr>
          <w:rFonts w:ascii="Verdana" w:hAnsi="Verdana"/>
        </w:rPr>
      </w:pPr>
      <w:r w:rsidRPr="00CC279E">
        <w:rPr>
          <w:rFonts w:ascii="Verdana" w:hAnsi="Verdana"/>
        </w:rPr>
        <w:t>La Empresas que pertenezcan al sector de Activos Virtuales deberán dar cumplimiento, adicional a lo dispuesto en el numeral 5 del presente Capítulo X (SAG</w:t>
      </w:r>
      <w:r w:rsidRPr="00CC279E">
        <w:rPr>
          <w:rFonts w:ascii="Verdana" w:hAnsi="Verdana"/>
        </w:rPr>
        <w:t>RILAFT), al proceso de Debida Diligencia Intensificada para conocer a su Contraparte y a los Activos Virtuales, establecido en el numeral 5.3.2 del presente Capítulo X.</w:t>
      </w:r>
    </w:p>
    <w:p w14:paraId="654FFCA1" w14:textId="77777777" w:rsidR="00304876" w:rsidRDefault="00304876" w:rsidP="00CC279E">
      <w:pPr>
        <w:pStyle w:val="Sinespaciado"/>
        <w:jc w:val="both"/>
        <w:rPr>
          <w:rFonts w:ascii="Verdana" w:hAnsi="Verdana"/>
        </w:rPr>
      </w:pPr>
      <w:bookmarkStart w:id="10" w:name="bookmark9"/>
    </w:p>
    <w:p w14:paraId="31A350E0" w14:textId="1F4DFC62" w:rsidR="00CA6C26" w:rsidRPr="00304876" w:rsidRDefault="00304876" w:rsidP="00CC279E">
      <w:pPr>
        <w:pStyle w:val="Sinespaciado"/>
        <w:jc w:val="both"/>
        <w:rPr>
          <w:rFonts w:ascii="Verdana" w:hAnsi="Verdana"/>
          <w:b/>
          <w:bCs/>
        </w:rPr>
      </w:pPr>
      <w:r w:rsidRPr="00304876">
        <w:rPr>
          <w:rFonts w:ascii="Verdana" w:hAnsi="Verdana"/>
          <w:b/>
          <w:bCs/>
        </w:rPr>
        <w:t>4.2.7. Sectores de supervisión especial o regímenes especiales</w:t>
      </w:r>
      <w:r w:rsidRPr="00304876">
        <w:rPr>
          <w:rFonts w:ascii="Verdana" w:hAnsi="Verdana"/>
          <w:b/>
          <w:bCs/>
          <w:vertAlign w:val="superscript"/>
        </w:rPr>
        <w:footnoteReference w:id="3"/>
      </w:r>
      <w:bookmarkEnd w:id="10"/>
    </w:p>
    <w:p w14:paraId="33EC968C" w14:textId="77777777" w:rsidR="00304876" w:rsidRDefault="00304876" w:rsidP="00CC279E">
      <w:pPr>
        <w:pStyle w:val="Sinespaciado"/>
        <w:jc w:val="both"/>
        <w:rPr>
          <w:rFonts w:ascii="Verdana" w:hAnsi="Verdana"/>
        </w:rPr>
      </w:pPr>
    </w:p>
    <w:p w14:paraId="6A949E09" w14:textId="77777777" w:rsidR="00304876" w:rsidRDefault="00556112" w:rsidP="00CC279E">
      <w:pPr>
        <w:pStyle w:val="Sinespaciado"/>
        <w:numPr>
          <w:ilvl w:val="0"/>
          <w:numId w:val="25"/>
        </w:numPr>
        <w:jc w:val="both"/>
        <w:rPr>
          <w:rFonts w:ascii="Verdana" w:hAnsi="Verdana"/>
        </w:rPr>
      </w:pPr>
      <w:r w:rsidRPr="00CC279E">
        <w:rPr>
          <w:rFonts w:ascii="Verdana" w:hAnsi="Verdana"/>
        </w:rPr>
        <w:t xml:space="preserve">Las Sociedades </w:t>
      </w:r>
      <w:r w:rsidRPr="00CC279E">
        <w:rPr>
          <w:rFonts w:ascii="Verdana" w:hAnsi="Verdana"/>
        </w:rPr>
        <w:t>Administradoras de Planes de Autofinanciamiento Comercial (SAPAC).</w:t>
      </w:r>
    </w:p>
    <w:p w14:paraId="2CBD9495" w14:textId="77777777" w:rsidR="00304876" w:rsidRDefault="00556112" w:rsidP="00CC279E">
      <w:pPr>
        <w:pStyle w:val="Sinespaciado"/>
        <w:numPr>
          <w:ilvl w:val="0"/>
          <w:numId w:val="25"/>
        </w:numPr>
        <w:jc w:val="both"/>
        <w:rPr>
          <w:rFonts w:ascii="Verdana" w:hAnsi="Verdana"/>
        </w:rPr>
      </w:pPr>
      <w:r w:rsidRPr="00304876">
        <w:rPr>
          <w:rFonts w:ascii="Verdana" w:hAnsi="Verdana"/>
        </w:rPr>
        <w:t>Las Sociedades Operadoras de Libranza, vigiladas por la Superintendencia de Sociedades.</w:t>
      </w:r>
    </w:p>
    <w:p w14:paraId="0AF80FDB" w14:textId="77777777" w:rsidR="00304876" w:rsidRDefault="00556112" w:rsidP="00CC279E">
      <w:pPr>
        <w:pStyle w:val="Sinespaciado"/>
        <w:numPr>
          <w:ilvl w:val="0"/>
          <w:numId w:val="25"/>
        </w:numPr>
        <w:jc w:val="both"/>
        <w:rPr>
          <w:rFonts w:ascii="Verdana" w:hAnsi="Verdana"/>
        </w:rPr>
      </w:pPr>
      <w:r w:rsidRPr="00304876">
        <w:rPr>
          <w:rFonts w:ascii="Verdana" w:hAnsi="Verdana"/>
        </w:rPr>
        <w:t>Las sociedades que lleven a cabo Actividades de Mercadeo Multinivel.</w:t>
      </w:r>
    </w:p>
    <w:p w14:paraId="3A565212" w14:textId="77777777" w:rsidR="00304876" w:rsidRDefault="00556112" w:rsidP="00CC279E">
      <w:pPr>
        <w:pStyle w:val="Sinespaciado"/>
        <w:numPr>
          <w:ilvl w:val="0"/>
          <w:numId w:val="25"/>
        </w:numPr>
        <w:jc w:val="both"/>
        <w:rPr>
          <w:rFonts w:ascii="Verdana" w:hAnsi="Verdana"/>
        </w:rPr>
      </w:pPr>
      <w:r w:rsidRPr="00304876">
        <w:rPr>
          <w:rFonts w:ascii="Verdana" w:hAnsi="Verdana"/>
        </w:rPr>
        <w:t>Los fondos ganaderos.</w:t>
      </w:r>
    </w:p>
    <w:p w14:paraId="3A93F87A" w14:textId="4741974D" w:rsidR="004F48C9" w:rsidRPr="00304876" w:rsidRDefault="004F48C9" w:rsidP="00CC279E">
      <w:pPr>
        <w:pStyle w:val="Sinespaciado"/>
        <w:numPr>
          <w:ilvl w:val="0"/>
          <w:numId w:val="25"/>
        </w:numPr>
        <w:jc w:val="both"/>
        <w:rPr>
          <w:rFonts w:ascii="Verdana" w:hAnsi="Verdana"/>
        </w:rPr>
      </w:pPr>
      <w:r w:rsidRPr="00304876">
        <w:rPr>
          <w:rFonts w:ascii="Verdana" w:hAnsi="Verdana"/>
        </w:rPr>
        <w:t xml:space="preserve">Las sociedades que realizan actividades de </w:t>
      </w:r>
      <w:r w:rsidRPr="00304876">
        <w:rPr>
          <w:rFonts w:ascii="Verdana" w:hAnsi="Verdana"/>
          <w:lang w:val="es-CO" w:eastAsia="en-US" w:bidi="en-US"/>
        </w:rPr>
        <w:t xml:space="preserve">factoring, </w:t>
      </w:r>
      <w:r w:rsidRPr="00304876">
        <w:rPr>
          <w:rFonts w:ascii="Verdana" w:hAnsi="Verdana"/>
        </w:rPr>
        <w:t>vigiladas por la Superintendencia de Sociedades.</w:t>
      </w:r>
    </w:p>
    <w:p w14:paraId="02CCE6E1" w14:textId="77777777" w:rsidR="00304876" w:rsidRDefault="00304876" w:rsidP="00CC279E">
      <w:pPr>
        <w:pStyle w:val="Sinespaciado"/>
        <w:jc w:val="both"/>
        <w:rPr>
          <w:rFonts w:ascii="Verdana" w:hAnsi="Verdana"/>
        </w:rPr>
      </w:pPr>
    </w:p>
    <w:p w14:paraId="59B0348A" w14:textId="07762D7C" w:rsidR="004F48C9" w:rsidRPr="00304876" w:rsidRDefault="00304876" w:rsidP="00CC279E">
      <w:pPr>
        <w:pStyle w:val="Sinespaciado"/>
        <w:jc w:val="both"/>
        <w:rPr>
          <w:rFonts w:ascii="Verdana" w:hAnsi="Verdana"/>
          <w:b/>
          <w:bCs/>
        </w:rPr>
      </w:pPr>
      <w:r w:rsidRPr="00304876">
        <w:rPr>
          <w:rFonts w:ascii="Verdana" w:hAnsi="Verdana"/>
          <w:b/>
          <w:bCs/>
        </w:rPr>
        <w:t xml:space="preserve">4.2.8. </w:t>
      </w:r>
      <w:r w:rsidR="004F48C9" w:rsidRPr="00304876">
        <w:rPr>
          <w:rFonts w:ascii="Verdana" w:hAnsi="Verdana"/>
          <w:b/>
          <w:bCs/>
        </w:rPr>
        <w:t>Régimen aplicable a las Empresas que reciban aportes en Activos Virtuales</w:t>
      </w:r>
    </w:p>
    <w:p w14:paraId="45BDBF8B" w14:textId="77777777" w:rsidR="00304876" w:rsidRDefault="00304876" w:rsidP="00CC279E">
      <w:pPr>
        <w:pStyle w:val="Sinespaciado"/>
        <w:jc w:val="both"/>
        <w:rPr>
          <w:rFonts w:ascii="Verdana" w:hAnsi="Verdana"/>
        </w:rPr>
      </w:pPr>
    </w:p>
    <w:p w14:paraId="57DC7244" w14:textId="5BBB9130" w:rsidR="004F48C9" w:rsidRPr="00CC279E" w:rsidRDefault="004F48C9" w:rsidP="00CC279E">
      <w:pPr>
        <w:pStyle w:val="Sinespaciado"/>
        <w:jc w:val="both"/>
        <w:rPr>
          <w:rFonts w:ascii="Verdana" w:hAnsi="Verdana"/>
        </w:rPr>
      </w:pPr>
      <w:r w:rsidRPr="00CC279E">
        <w:rPr>
          <w:rFonts w:ascii="Verdana" w:hAnsi="Verdana"/>
        </w:rPr>
        <w:t>Las Empresas que, a 31 de diciembre del año inmediatamente anterior, hubieren recibido uno o varios aportes de Activos Virtuales iguales o superiores (individualmente o en conjunto) a cien (100) SMLMV, deberán dar cumplimiento a lo dispuesto en el numeral 5 del presente Capítulo X (SAGRILAFT) y deberán aplicar el proceso de Debida Diligencia Intensificada para conocer a su Contraparte y los Activos Virtuales, establecido en el numeral 5.3.2 del presente Capítulo.</w:t>
      </w:r>
    </w:p>
    <w:p w14:paraId="78B45F87" w14:textId="77777777" w:rsidR="00304876" w:rsidRDefault="00304876" w:rsidP="00CC279E">
      <w:pPr>
        <w:pStyle w:val="Sinespaciado"/>
        <w:jc w:val="both"/>
        <w:rPr>
          <w:rStyle w:val="Cuerpodeltexto2105ptoNegrita"/>
          <w:rFonts w:ascii="Verdana" w:hAnsi="Verdana"/>
          <w:sz w:val="24"/>
          <w:szCs w:val="24"/>
        </w:rPr>
      </w:pPr>
    </w:p>
    <w:p w14:paraId="3F187644" w14:textId="4F86B92C" w:rsidR="004F48C9" w:rsidRPr="00CC279E" w:rsidRDefault="004F48C9" w:rsidP="00CC279E">
      <w:pPr>
        <w:pStyle w:val="Sinespaciado"/>
        <w:jc w:val="both"/>
        <w:rPr>
          <w:rFonts w:ascii="Verdana" w:hAnsi="Verdana"/>
        </w:rPr>
      </w:pPr>
      <w:r w:rsidRPr="00CC279E">
        <w:rPr>
          <w:rStyle w:val="Cuerpodeltexto2105ptoNegrita"/>
          <w:rFonts w:ascii="Verdana" w:hAnsi="Verdana"/>
          <w:sz w:val="24"/>
          <w:szCs w:val="24"/>
        </w:rPr>
        <w:t>4.3.</w:t>
      </w:r>
      <w:r w:rsidR="00304876">
        <w:rPr>
          <w:rStyle w:val="Cuerpodeltexto2105ptoNegrita"/>
          <w:rFonts w:ascii="Verdana" w:hAnsi="Verdana"/>
          <w:sz w:val="24"/>
          <w:szCs w:val="24"/>
        </w:rPr>
        <w:t xml:space="preserve"> </w:t>
      </w:r>
      <w:r w:rsidRPr="00CC279E">
        <w:rPr>
          <w:rStyle w:val="Cuerpodeltexto2105ptoNegrita"/>
          <w:rFonts w:ascii="Verdana" w:hAnsi="Verdana"/>
          <w:sz w:val="24"/>
          <w:szCs w:val="24"/>
        </w:rPr>
        <w:t>Las APNFD</w:t>
      </w:r>
      <w:r w:rsidR="00304876">
        <w:rPr>
          <w:rStyle w:val="Refdenotaalpie"/>
          <w:rFonts w:ascii="Verdana" w:eastAsia="Arial" w:hAnsi="Verdana" w:cs="Arial"/>
          <w:b/>
          <w:bCs/>
        </w:rPr>
        <w:footnoteReference w:id="4"/>
      </w:r>
      <w:r w:rsidRPr="00CC279E">
        <w:rPr>
          <w:rFonts w:ascii="Verdana" w:hAnsi="Verdana"/>
        </w:rPr>
        <w:t xml:space="preserve"> que pertenezcan a cualquiera de los sectores que se señalan a continuación, siempre y cuando cumplan con todos los requisitos que se indican para el respectivo sector, deberán dar cumplimiento a lo dispuesto en el numeral 6 del presente Capítulo X (Régimen de Medidas Mínimas):</w:t>
      </w:r>
    </w:p>
    <w:p w14:paraId="559C729E" w14:textId="77777777" w:rsidR="00304876" w:rsidRDefault="00304876" w:rsidP="00CC279E">
      <w:pPr>
        <w:pStyle w:val="Sinespaciado"/>
        <w:jc w:val="both"/>
        <w:rPr>
          <w:rFonts w:ascii="Verdana" w:hAnsi="Verdana"/>
        </w:rPr>
      </w:pPr>
    </w:p>
    <w:p w14:paraId="287DE732" w14:textId="1B316B85" w:rsidR="004F48C9" w:rsidRPr="00304876" w:rsidRDefault="00304876" w:rsidP="00CC279E">
      <w:pPr>
        <w:pStyle w:val="Sinespaciado"/>
        <w:jc w:val="both"/>
        <w:rPr>
          <w:rFonts w:ascii="Verdana" w:hAnsi="Verdana"/>
          <w:b/>
          <w:bCs/>
        </w:rPr>
      </w:pPr>
      <w:r w:rsidRPr="00304876">
        <w:rPr>
          <w:rFonts w:ascii="Verdana" w:hAnsi="Verdana"/>
          <w:b/>
          <w:bCs/>
        </w:rPr>
        <w:t xml:space="preserve">4.3.1. </w:t>
      </w:r>
      <w:r w:rsidR="004F48C9" w:rsidRPr="00304876">
        <w:rPr>
          <w:rFonts w:ascii="Verdana" w:hAnsi="Verdana"/>
          <w:b/>
          <w:bCs/>
        </w:rPr>
        <w:t>Sector de agentes inmobiliarios</w:t>
      </w:r>
    </w:p>
    <w:p w14:paraId="7D15EB1B" w14:textId="77777777" w:rsidR="00304876" w:rsidRDefault="00304876" w:rsidP="00CC279E">
      <w:pPr>
        <w:pStyle w:val="Sinespaciado"/>
        <w:jc w:val="both"/>
        <w:rPr>
          <w:rFonts w:ascii="Verdana" w:hAnsi="Verdana"/>
        </w:rPr>
      </w:pPr>
    </w:p>
    <w:p w14:paraId="05D1F994" w14:textId="77777777" w:rsidR="00304876" w:rsidRDefault="004F48C9" w:rsidP="00CC279E">
      <w:pPr>
        <w:pStyle w:val="Sinespaciado"/>
        <w:numPr>
          <w:ilvl w:val="0"/>
          <w:numId w:val="26"/>
        </w:numPr>
        <w:jc w:val="both"/>
        <w:rPr>
          <w:rFonts w:ascii="Verdana" w:hAnsi="Verdana"/>
        </w:rPr>
      </w:pPr>
      <w:r w:rsidRPr="00CC279E">
        <w:rPr>
          <w:rFonts w:ascii="Verdana" w:hAnsi="Verdana"/>
        </w:rPr>
        <w:t>Que se dediquen habitualmente a la prestación de servicios de intermediación en la compra o venta de bienes inmuebles a favor de sus clientes; y</w:t>
      </w:r>
    </w:p>
    <w:p w14:paraId="0B204EFB" w14:textId="3A3E5F12" w:rsidR="004F48C9" w:rsidRPr="00304876" w:rsidRDefault="004F48C9" w:rsidP="00CC279E">
      <w:pPr>
        <w:pStyle w:val="Sinespaciado"/>
        <w:numPr>
          <w:ilvl w:val="0"/>
          <w:numId w:val="26"/>
        </w:numPr>
        <w:jc w:val="both"/>
        <w:rPr>
          <w:rFonts w:ascii="Verdana" w:hAnsi="Verdana"/>
        </w:rPr>
      </w:pPr>
      <w:r w:rsidRPr="00304876">
        <w:rPr>
          <w:rFonts w:ascii="Verdana" w:hAnsi="Verdana"/>
        </w:rPr>
        <w:t>Que, a 31 de diciembre del año inmediatamente anterior, hubieren obtenido Ingresos Totales iguales o superiores a tres mil (3.000) SMLMV o tenido Activos iguales o superiores a cinco mil (5.000) SMLMV.</w:t>
      </w:r>
    </w:p>
    <w:p w14:paraId="0171DEDB" w14:textId="77777777" w:rsidR="00304876" w:rsidRDefault="00304876" w:rsidP="00CC279E">
      <w:pPr>
        <w:pStyle w:val="Sinespaciado"/>
        <w:jc w:val="both"/>
        <w:rPr>
          <w:rFonts w:ascii="Verdana" w:hAnsi="Verdana"/>
        </w:rPr>
      </w:pPr>
    </w:p>
    <w:p w14:paraId="7182BAAA" w14:textId="0930EEE5" w:rsidR="004F48C9" w:rsidRPr="00304876" w:rsidRDefault="00304876" w:rsidP="00CC279E">
      <w:pPr>
        <w:pStyle w:val="Sinespaciado"/>
        <w:jc w:val="both"/>
        <w:rPr>
          <w:rFonts w:ascii="Verdana" w:hAnsi="Verdana"/>
          <w:b/>
          <w:bCs/>
        </w:rPr>
      </w:pPr>
      <w:r w:rsidRPr="00304876">
        <w:rPr>
          <w:rFonts w:ascii="Verdana" w:hAnsi="Verdana"/>
          <w:b/>
          <w:bCs/>
        </w:rPr>
        <w:t xml:space="preserve">4.3.2. </w:t>
      </w:r>
      <w:r w:rsidR="004F48C9" w:rsidRPr="00304876">
        <w:rPr>
          <w:rFonts w:ascii="Verdana" w:hAnsi="Verdana"/>
          <w:b/>
          <w:bCs/>
        </w:rPr>
        <w:t>Sector de comercialización de metales preciosos y piedras preciosas</w:t>
      </w:r>
    </w:p>
    <w:p w14:paraId="5E3BCC11" w14:textId="77777777" w:rsidR="00304876" w:rsidRDefault="00304876" w:rsidP="00CC279E">
      <w:pPr>
        <w:pStyle w:val="Sinespaciado"/>
        <w:jc w:val="both"/>
        <w:rPr>
          <w:rFonts w:ascii="Verdana" w:hAnsi="Verdana"/>
        </w:rPr>
      </w:pPr>
    </w:p>
    <w:p w14:paraId="11CB85F4" w14:textId="77777777" w:rsidR="00304876" w:rsidRDefault="004F48C9" w:rsidP="00CC279E">
      <w:pPr>
        <w:pStyle w:val="Sinespaciado"/>
        <w:numPr>
          <w:ilvl w:val="0"/>
          <w:numId w:val="27"/>
        </w:numPr>
        <w:jc w:val="both"/>
        <w:rPr>
          <w:rFonts w:ascii="Verdana" w:hAnsi="Verdana"/>
        </w:rPr>
      </w:pPr>
      <w:r w:rsidRPr="00CC279E">
        <w:rPr>
          <w:rFonts w:ascii="Verdana" w:hAnsi="Verdana"/>
        </w:rPr>
        <w:t>Que se dediquen habitualmente a la comercialización de metales preciosos y piedras preciosas; y</w:t>
      </w:r>
    </w:p>
    <w:p w14:paraId="14B4D9A3" w14:textId="690577A3" w:rsidR="004F48C9" w:rsidRPr="00304876" w:rsidRDefault="004F48C9" w:rsidP="00CC279E">
      <w:pPr>
        <w:pStyle w:val="Sinespaciado"/>
        <w:numPr>
          <w:ilvl w:val="0"/>
          <w:numId w:val="27"/>
        </w:numPr>
        <w:jc w:val="both"/>
        <w:rPr>
          <w:rFonts w:ascii="Verdana" w:hAnsi="Verdana"/>
        </w:rPr>
      </w:pPr>
      <w:r w:rsidRPr="00304876">
        <w:rPr>
          <w:rFonts w:ascii="Verdana" w:hAnsi="Verdana"/>
        </w:rPr>
        <w:t>Que, a 31 de diciembre del año inmediatamente anterior, hubieren obtenido Ingresos Totales iguales o superiores a tres mil (3.000) SMLMV o tenido Activos iguales o superiores a cinco mil (5.000) SMLMV.</w:t>
      </w:r>
    </w:p>
    <w:p w14:paraId="4261822E" w14:textId="77777777" w:rsidR="00304876" w:rsidRDefault="00304876" w:rsidP="00CC279E">
      <w:pPr>
        <w:pStyle w:val="Sinespaciado"/>
        <w:jc w:val="both"/>
        <w:rPr>
          <w:rFonts w:ascii="Verdana" w:hAnsi="Verdana"/>
        </w:rPr>
      </w:pPr>
    </w:p>
    <w:p w14:paraId="790DF90F" w14:textId="30569867" w:rsidR="004F48C9" w:rsidRPr="00304876" w:rsidRDefault="00304876" w:rsidP="00CC279E">
      <w:pPr>
        <w:pStyle w:val="Sinespaciado"/>
        <w:jc w:val="both"/>
        <w:rPr>
          <w:rFonts w:ascii="Verdana" w:hAnsi="Verdana"/>
          <w:b/>
          <w:bCs/>
        </w:rPr>
      </w:pPr>
      <w:r w:rsidRPr="00304876">
        <w:rPr>
          <w:rFonts w:ascii="Verdana" w:hAnsi="Verdana"/>
          <w:b/>
          <w:bCs/>
        </w:rPr>
        <w:t xml:space="preserve">4.3.3. </w:t>
      </w:r>
      <w:r w:rsidR="004F48C9" w:rsidRPr="00304876">
        <w:rPr>
          <w:rFonts w:ascii="Verdana" w:hAnsi="Verdana"/>
          <w:b/>
          <w:bCs/>
        </w:rPr>
        <w:t>Sector de servicios jurídicos</w:t>
      </w:r>
    </w:p>
    <w:p w14:paraId="6DE1FB41" w14:textId="77777777" w:rsidR="00304876" w:rsidRDefault="00304876" w:rsidP="00CC279E">
      <w:pPr>
        <w:pStyle w:val="Sinespaciado"/>
        <w:jc w:val="both"/>
        <w:rPr>
          <w:rFonts w:ascii="Verdana" w:hAnsi="Verdana"/>
        </w:rPr>
      </w:pPr>
    </w:p>
    <w:p w14:paraId="1FB5B181" w14:textId="77777777" w:rsidR="00304876" w:rsidRDefault="004F48C9" w:rsidP="00CC279E">
      <w:pPr>
        <w:pStyle w:val="Sinespaciado"/>
        <w:numPr>
          <w:ilvl w:val="0"/>
          <w:numId w:val="28"/>
        </w:numPr>
        <w:jc w:val="both"/>
        <w:rPr>
          <w:rFonts w:ascii="Verdana" w:hAnsi="Verdana"/>
        </w:rPr>
      </w:pPr>
      <w:r w:rsidRPr="00CC279E">
        <w:rPr>
          <w:rFonts w:ascii="Verdana" w:hAnsi="Verdana"/>
        </w:rPr>
        <w:t>Que su actividad económica inscrita en el registro mercantil o la actividad económica que genera para la Empresa el mayor Ingreso de Actividad Ordinaria según las normas aplicables, sea la identificada con el código 6910 del CIIU Rev. 4 A.C; y</w:t>
      </w:r>
    </w:p>
    <w:p w14:paraId="569DBF00" w14:textId="531675E5" w:rsidR="004F48C9" w:rsidRPr="00304876" w:rsidRDefault="004F48C9" w:rsidP="00CC279E">
      <w:pPr>
        <w:pStyle w:val="Sinespaciado"/>
        <w:numPr>
          <w:ilvl w:val="0"/>
          <w:numId w:val="28"/>
        </w:numPr>
        <w:jc w:val="both"/>
        <w:rPr>
          <w:rFonts w:ascii="Verdana" w:hAnsi="Verdana"/>
        </w:rPr>
      </w:pPr>
      <w:r w:rsidRPr="00304876">
        <w:rPr>
          <w:rFonts w:ascii="Verdana" w:hAnsi="Verdana"/>
        </w:rPr>
        <w:lastRenderedPageBreak/>
        <w:t>Que, a 31 de diciembre del año inmediatamente anterior, hubieren obtenido Ingresos Totales iguales o superiores a tres mil (3.000) SMLMV o tenido Activos iguales o superiores a cinco mil (5.000) SMLMV.</w:t>
      </w:r>
    </w:p>
    <w:p w14:paraId="38A0F96B" w14:textId="77777777" w:rsidR="00304876" w:rsidRDefault="00304876" w:rsidP="00CC279E">
      <w:pPr>
        <w:pStyle w:val="Sinespaciado"/>
        <w:jc w:val="both"/>
        <w:rPr>
          <w:rFonts w:ascii="Verdana" w:hAnsi="Verdana"/>
        </w:rPr>
      </w:pPr>
    </w:p>
    <w:p w14:paraId="51C060B2" w14:textId="6787392C" w:rsidR="004F48C9" w:rsidRPr="00304876" w:rsidRDefault="00304876" w:rsidP="00CC279E">
      <w:pPr>
        <w:pStyle w:val="Sinespaciado"/>
        <w:jc w:val="both"/>
        <w:rPr>
          <w:rFonts w:ascii="Verdana" w:hAnsi="Verdana"/>
          <w:b/>
          <w:bCs/>
        </w:rPr>
      </w:pPr>
      <w:r w:rsidRPr="00304876">
        <w:rPr>
          <w:rFonts w:ascii="Verdana" w:hAnsi="Verdana"/>
          <w:b/>
          <w:bCs/>
        </w:rPr>
        <w:t xml:space="preserve">4.3.4. </w:t>
      </w:r>
      <w:r w:rsidR="004F48C9" w:rsidRPr="00304876">
        <w:rPr>
          <w:rFonts w:ascii="Verdana" w:hAnsi="Verdana"/>
          <w:b/>
          <w:bCs/>
        </w:rPr>
        <w:t>Sector de servicios contables</w:t>
      </w:r>
    </w:p>
    <w:p w14:paraId="7B99236C" w14:textId="77777777" w:rsidR="00304876" w:rsidRDefault="00304876" w:rsidP="00CC279E">
      <w:pPr>
        <w:pStyle w:val="Sinespaciado"/>
        <w:jc w:val="both"/>
        <w:rPr>
          <w:rFonts w:ascii="Verdana" w:hAnsi="Verdana"/>
        </w:rPr>
      </w:pPr>
    </w:p>
    <w:p w14:paraId="5D534AC2" w14:textId="77777777" w:rsidR="00304876" w:rsidRDefault="004F48C9" w:rsidP="00CC279E">
      <w:pPr>
        <w:pStyle w:val="Sinespaciado"/>
        <w:numPr>
          <w:ilvl w:val="0"/>
          <w:numId w:val="29"/>
        </w:numPr>
        <w:jc w:val="both"/>
        <w:rPr>
          <w:rFonts w:ascii="Verdana" w:hAnsi="Verdana"/>
        </w:rPr>
      </w:pPr>
      <w:r w:rsidRPr="00CC279E">
        <w:rPr>
          <w:rFonts w:ascii="Verdana" w:hAnsi="Verdana"/>
        </w:rPr>
        <w:t>Que su actividad económica inscrita en el registro mercantil o la actividad económica que genera para la Empresa el mayor Ingreso de Actividad Ordinaria según las normas aplicables, sea la identificada con el código 6920 del CIIU Rev. 4 A.C; y</w:t>
      </w:r>
    </w:p>
    <w:p w14:paraId="300E54B9" w14:textId="6CFA6721" w:rsidR="004F48C9" w:rsidRPr="00304876" w:rsidRDefault="004F48C9" w:rsidP="00CC279E">
      <w:pPr>
        <w:pStyle w:val="Sinespaciado"/>
        <w:numPr>
          <w:ilvl w:val="0"/>
          <w:numId w:val="29"/>
        </w:numPr>
        <w:jc w:val="both"/>
        <w:rPr>
          <w:rFonts w:ascii="Verdana" w:hAnsi="Verdana"/>
        </w:rPr>
      </w:pPr>
      <w:r w:rsidRPr="00304876">
        <w:rPr>
          <w:rFonts w:ascii="Verdana" w:hAnsi="Verdana"/>
        </w:rPr>
        <w:t>Que, a 31 de diciembre del año inmediatamente anterior, hubieren obtenido Ingresos Totales iguales o superiores a tres mil (3.000) SMLMV o tenido Activos iguales o superiores a cinco mil (5.000).</w:t>
      </w:r>
    </w:p>
    <w:p w14:paraId="082CB5CB" w14:textId="77777777" w:rsidR="00304876" w:rsidRDefault="00304876" w:rsidP="00304876">
      <w:pPr>
        <w:pStyle w:val="Sinespaciado"/>
        <w:ind w:firstLine="708"/>
        <w:jc w:val="both"/>
        <w:rPr>
          <w:rFonts w:ascii="Verdana" w:hAnsi="Verdana"/>
        </w:rPr>
      </w:pPr>
    </w:p>
    <w:p w14:paraId="30D50643" w14:textId="312C3652" w:rsidR="004F48C9" w:rsidRPr="00CC279E" w:rsidRDefault="004F48C9" w:rsidP="00304876">
      <w:pPr>
        <w:pStyle w:val="Sinespaciado"/>
        <w:ind w:firstLine="708"/>
        <w:jc w:val="both"/>
        <w:rPr>
          <w:rFonts w:ascii="Verdana" w:hAnsi="Verdana"/>
        </w:rPr>
      </w:pPr>
      <w:r w:rsidRPr="00CC279E">
        <w:rPr>
          <w:rFonts w:ascii="Verdana" w:hAnsi="Verdana"/>
        </w:rPr>
        <w:t>(</w:t>
      </w:r>
      <w:r w:rsidR="00304876">
        <w:rPr>
          <w:rFonts w:ascii="Verdana" w:hAnsi="Verdana"/>
        </w:rPr>
        <w:t>…</w:t>
      </w:r>
      <w:r w:rsidRPr="00CC279E">
        <w:rPr>
          <w:rFonts w:ascii="Verdana" w:hAnsi="Verdana"/>
        </w:rPr>
        <w:t>)”</w:t>
      </w:r>
    </w:p>
    <w:p w14:paraId="5896168F" w14:textId="77777777" w:rsidR="00304876" w:rsidRDefault="00304876" w:rsidP="00CC279E">
      <w:pPr>
        <w:pStyle w:val="Sinespaciado"/>
        <w:jc w:val="both"/>
        <w:rPr>
          <w:rFonts w:ascii="Verdana" w:hAnsi="Verdana"/>
        </w:rPr>
      </w:pPr>
    </w:p>
    <w:p w14:paraId="775E15FF" w14:textId="3646E398" w:rsidR="004F48C9" w:rsidRPr="00CC279E" w:rsidRDefault="004F48C9" w:rsidP="00CC279E">
      <w:pPr>
        <w:pStyle w:val="Sinespaciado"/>
        <w:jc w:val="both"/>
        <w:rPr>
          <w:rFonts w:ascii="Verdana" w:hAnsi="Verdana"/>
        </w:rPr>
      </w:pPr>
      <w:r w:rsidRPr="00CC279E">
        <w:rPr>
          <w:rFonts w:ascii="Verdana" w:hAnsi="Verdana"/>
        </w:rPr>
        <w:t>Conforme a lo anterior, en primer lugar, la sociedad debe verificar si está obligada a desarrollar lo contenido en el Capítulo X de la Circular Básica Jurídica de la Superintendencia de Sociedades. Si cumple con los requisitos señalados en el referido numeral 4, independientemente de que utilice la plataforma RADIAN, la empresa tiene la obligación de implementar el SAGRILAFT.</w:t>
      </w:r>
    </w:p>
    <w:p w14:paraId="54213DD6" w14:textId="77777777" w:rsidR="00304876" w:rsidRDefault="00304876" w:rsidP="00CC279E">
      <w:pPr>
        <w:pStyle w:val="Sinespaciado"/>
        <w:jc w:val="both"/>
        <w:rPr>
          <w:rFonts w:ascii="Verdana" w:hAnsi="Verdana"/>
        </w:rPr>
      </w:pPr>
    </w:p>
    <w:p w14:paraId="6F7ED9C9" w14:textId="10EC4BB6" w:rsidR="004F48C9" w:rsidRPr="00CC279E" w:rsidRDefault="004F48C9" w:rsidP="00CC279E">
      <w:pPr>
        <w:pStyle w:val="Sinespaciado"/>
        <w:jc w:val="both"/>
        <w:rPr>
          <w:rFonts w:ascii="Verdana" w:hAnsi="Verdana"/>
        </w:rPr>
      </w:pPr>
      <w:r w:rsidRPr="00CC279E">
        <w:rPr>
          <w:rFonts w:ascii="Verdana" w:hAnsi="Verdana"/>
        </w:rPr>
        <w:t>Por lo tanto, en el caso hipotético en que la empresa se encuentre obligada a implementar el SAGRILAFT y esté vinculada la plataforma RADIAN, no es posible concluir que el simple cumplimiento de los requisitos establecidos en el Artículo 2.2.2.53.8. del Decreto 1154 de 2020, es suficiente para mitigar el riesgo LA/FT/FPADM y cumplir con lo establecido en el señalado Capítulo X.</w:t>
      </w:r>
    </w:p>
    <w:p w14:paraId="435B2890" w14:textId="77777777" w:rsidR="00304876" w:rsidRDefault="00304876" w:rsidP="00CC279E">
      <w:pPr>
        <w:pStyle w:val="Sinespaciado"/>
        <w:jc w:val="both"/>
        <w:rPr>
          <w:rFonts w:ascii="Verdana" w:hAnsi="Verdana"/>
        </w:rPr>
      </w:pPr>
    </w:p>
    <w:p w14:paraId="7075E17D" w14:textId="1A4E27D7" w:rsidR="004F48C9" w:rsidRPr="00CC279E" w:rsidRDefault="004F48C9" w:rsidP="00CC279E">
      <w:pPr>
        <w:pStyle w:val="Sinespaciado"/>
        <w:jc w:val="both"/>
        <w:rPr>
          <w:rFonts w:ascii="Verdana" w:hAnsi="Verdana"/>
        </w:rPr>
      </w:pPr>
      <w:r w:rsidRPr="00CC279E">
        <w:rPr>
          <w:rFonts w:ascii="Verdana" w:hAnsi="Verdana"/>
        </w:rPr>
        <w:t>La falta de una correcta implementación del SAGRILAFT podría eventualmente abrir la puerta a conductas de lavado de activos, financiamiento del terrorismo y financiamiento de la proliferación de armas de destrucción masiva, los cuales son fenómenos delictivos que generan consecuencias negativas para la empresa (afectando, entre otros, su buen nombre, competitividad, productividad y perdurabilidad) y para la economía del país.</w:t>
      </w:r>
    </w:p>
    <w:p w14:paraId="1C338EA0" w14:textId="77777777" w:rsidR="00304876" w:rsidRDefault="00304876" w:rsidP="00CC279E">
      <w:pPr>
        <w:pStyle w:val="Sinespaciado"/>
        <w:jc w:val="both"/>
        <w:rPr>
          <w:rFonts w:ascii="Verdana" w:hAnsi="Verdana"/>
        </w:rPr>
      </w:pPr>
    </w:p>
    <w:p w14:paraId="755860C8" w14:textId="1B3004C4" w:rsidR="004F48C9" w:rsidRPr="00CC279E" w:rsidRDefault="004F48C9" w:rsidP="00CC279E">
      <w:pPr>
        <w:pStyle w:val="Sinespaciado"/>
        <w:jc w:val="both"/>
        <w:rPr>
          <w:rFonts w:ascii="Verdana" w:hAnsi="Verdana"/>
        </w:rPr>
      </w:pPr>
      <w:r w:rsidRPr="00CC279E">
        <w:rPr>
          <w:rFonts w:ascii="Verdana" w:hAnsi="Verdana"/>
        </w:rPr>
        <w:t xml:space="preserve">En consecuencia, es preciso indicar que el SAGRILAFT es una herramienta útil y de vital importancia para combatir los diferentes riesgos en los cuales se puede ver inmersa una sociedad a la hora </w:t>
      </w:r>
      <w:r w:rsidRPr="00CC279E">
        <w:rPr>
          <w:rFonts w:ascii="Verdana" w:hAnsi="Verdana"/>
        </w:rPr>
        <w:lastRenderedPageBreak/>
        <w:t>de desarrollar sus operaciones comerciales, ya que su correcta implementación disminuye la probabilidad de que organizaciones criminales usen a las empresas para cometer actos ilícitos.</w:t>
      </w:r>
    </w:p>
    <w:p w14:paraId="0FB199E8" w14:textId="77777777" w:rsidR="00304876" w:rsidRDefault="00304876" w:rsidP="00CC279E">
      <w:pPr>
        <w:pStyle w:val="Sinespaciado"/>
        <w:jc w:val="both"/>
        <w:rPr>
          <w:rFonts w:ascii="Verdana" w:hAnsi="Verdana"/>
        </w:rPr>
      </w:pPr>
    </w:p>
    <w:p w14:paraId="5A85D9E8" w14:textId="66E6E93F" w:rsidR="004F48C9" w:rsidRPr="00CC279E" w:rsidRDefault="004F48C9" w:rsidP="00CC279E">
      <w:pPr>
        <w:pStyle w:val="Sinespaciado"/>
        <w:jc w:val="both"/>
        <w:rPr>
          <w:rFonts w:ascii="Verdana" w:hAnsi="Verdana"/>
        </w:rPr>
      </w:pPr>
      <w:r w:rsidRPr="00CC279E">
        <w:rPr>
          <w:rFonts w:ascii="Verdana" w:hAnsi="Verdana"/>
        </w:rPr>
        <w:t xml:space="preserve">Por otra parte, es preciso recordar que el enfoque basado en riesgo que cimienta el Capítulo X de la Circular Básica Jurídica de la Superintendencia de Sociedades, determina que cuando existan riesgos mayores se deben ejecutar medidas intensificadas para administrar y mitigar esos riesgos; por le </w:t>
      </w:r>
      <w:r w:rsidR="00304876">
        <w:rPr>
          <w:rFonts w:ascii="Verdana" w:hAnsi="Verdana"/>
        </w:rPr>
        <w:t xml:space="preserve">(sic) </w:t>
      </w:r>
      <w:r w:rsidRPr="00CC279E">
        <w:rPr>
          <w:rFonts w:ascii="Verdana" w:hAnsi="Verdana"/>
        </w:rPr>
        <w:t>contrario, cuando los riesgos sean menores, es posible la aplicación de medidas simplificadas. En todo caso, no se permiten medidas simplificadas cuando exista una sospecha de LA/FT/FPADM.</w:t>
      </w:r>
    </w:p>
    <w:p w14:paraId="5E7B39A3" w14:textId="77777777" w:rsidR="00304876" w:rsidRDefault="00304876" w:rsidP="00CC279E">
      <w:pPr>
        <w:pStyle w:val="Sinespaciado"/>
        <w:jc w:val="both"/>
        <w:rPr>
          <w:rFonts w:ascii="Verdana" w:hAnsi="Verdana"/>
        </w:rPr>
      </w:pPr>
    </w:p>
    <w:p w14:paraId="5C057FDB" w14:textId="438EF5DF" w:rsidR="004F48C9" w:rsidRPr="00CC279E" w:rsidRDefault="004F48C9" w:rsidP="00CC279E">
      <w:pPr>
        <w:pStyle w:val="Sinespaciado"/>
        <w:jc w:val="both"/>
        <w:rPr>
          <w:rFonts w:ascii="Verdana" w:hAnsi="Verdana"/>
        </w:rPr>
      </w:pPr>
      <w:r w:rsidRPr="00CC279E">
        <w:rPr>
          <w:rFonts w:ascii="Verdana" w:hAnsi="Verdana"/>
        </w:rPr>
        <w:t>Adicionalmente, para tener un efectivo cumplimiento del SAGRILAFT, se debe tener en cuenta lo contenido en el numeral 5.2 del señalado Capítulo X en cuanto a la identificación, medición y evaluación, control y monitoreo del riesgo, así como lo establecido en el numeral 5.3 que trata todo lo relacionado a la debida diligencia.</w:t>
      </w:r>
    </w:p>
    <w:p w14:paraId="3000EADC" w14:textId="77777777" w:rsidR="00304876" w:rsidRDefault="00304876" w:rsidP="00CC279E">
      <w:pPr>
        <w:pStyle w:val="Sinespaciado"/>
        <w:jc w:val="both"/>
        <w:rPr>
          <w:rFonts w:ascii="Verdana" w:hAnsi="Verdana"/>
        </w:rPr>
      </w:pPr>
    </w:p>
    <w:p w14:paraId="5A06E7F2" w14:textId="385F02F3" w:rsidR="004F48C9" w:rsidRPr="00CC279E" w:rsidRDefault="004F48C9" w:rsidP="00CC279E">
      <w:pPr>
        <w:pStyle w:val="Sinespaciado"/>
        <w:jc w:val="both"/>
        <w:rPr>
          <w:rFonts w:ascii="Verdana" w:hAnsi="Verdana"/>
        </w:rPr>
      </w:pPr>
      <w:r w:rsidRPr="00CC279E">
        <w:rPr>
          <w:rFonts w:ascii="Verdana" w:hAnsi="Verdana"/>
        </w:rPr>
        <w:t xml:space="preserve">Para concluir, es pertinente traer a colación lo señalado por este Despacho en su Oficio </w:t>
      </w:r>
      <w:r w:rsidRPr="00CC279E">
        <w:rPr>
          <w:rFonts w:ascii="Verdana" w:hAnsi="Verdana"/>
          <w:lang w:val="es-CO" w:eastAsia="en-US" w:bidi="en-US"/>
        </w:rPr>
        <w:t>220</w:t>
      </w:r>
      <w:r w:rsidRPr="00CC279E">
        <w:rPr>
          <w:rFonts w:ascii="Verdana" w:hAnsi="Verdana"/>
          <w:lang w:val="es-CO" w:eastAsia="en-US" w:bidi="en-US"/>
        </w:rPr>
        <w:softHyphen/>
        <w:t>016449</w:t>
      </w:r>
      <w:r w:rsidRPr="00CC279E">
        <w:rPr>
          <w:rFonts w:ascii="Verdana" w:hAnsi="Verdana"/>
        </w:rPr>
        <w:t xml:space="preserve"> del 28 de enero de 2022:</w:t>
      </w:r>
    </w:p>
    <w:p w14:paraId="3BE9EA87" w14:textId="77777777" w:rsidR="00304876" w:rsidRDefault="00304876" w:rsidP="00CC279E">
      <w:pPr>
        <w:pStyle w:val="Sinespaciado"/>
        <w:jc w:val="both"/>
        <w:rPr>
          <w:rFonts w:ascii="Verdana" w:hAnsi="Verdana"/>
        </w:rPr>
      </w:pPr>
    </w:p>
    <w:p w14:paraId="55FD24A0" w14:textId="2E3ED7CF" w:rsidR="004F48C9" w:rsidRPr="00CC279E" w:rsidRDefault="004F48C9" w:rsidP="00304876">
      <w:pPr>
        <w:pStyle w:val="Sinespaciado"/>
        <w:ind w:left="708"/>
        <w:jc w:val="both"/>
        <w:rPr>
          <w:rFonts w:ascii="Verdana" w:hAnsi="Verdana"/>
        </w:rPr>
      </w:pPr>
      <w:r w:rsidRPr="00CC279E">
        <w:rPr>
          <w:rFonts w:ascii="Verdana" w:hAnsi="Verdana"/>
        </w:rPr>
        <w:t>“(...) si no se puede llevar a cabo la Debida Diligencia satisfactoriamente, la Empresa Obligada deberá evaluar de acuerdo con su Política LA/FT/FPADM si debe continuar o no con la relación contractual.</w:t>
      </w:r>
    </w:p>
    <w:p w14:paraId="32A9A15C" w14:textId="77777777" w:rsidR="00304876" w:rsidRDefault="00304876" w:rsidP="00304876">
      <w:pPr>
        <w:pStyle w:val="Sinespaciado"/>
        <w:ind w:left="708"/>
        <w:jc w:val="both"/>
        <w:rPr>
          <w:rFonts w:ascii="Verdana" w:hAnsi="Verdana"/>
        </w:rPr>
      </w:pPr>
    </w:p>
    <w:p w14:paraId="6B72F5AC" w14:textId="17D71E14" w:rsidR="004F48C9" w:rsidRPr="00CC279E" w:rsidRDefault="004F48C9" w:rsidP="00304876">
      <w:pPr>
        <w:pStyle w:val="Sinespaciado"/>
        <w:ind w:left="708"/>
        <w:jc w:val="both"/>
        <w:rPr>
          <w:rFonts w:ascii="Verdana" w:hAnsi="Verdana"/>
        </w:rPr>
      </w:pPr>
      <w:r w:rsidRPr="00CC279E">
        <w:rPr>
          <w:rFonts w:ascii="Verdana" w:hAnsi="Verdana"/>
        </w:rPr>
        <w:t>Así mismo, el Sistema Interno de Prevención del Riesgo de LA/FT/FPADM debe contar con suficientes y diversos métodos que permitan a la Empresa Obligada aproximarse, lo más posible, al conocimiento del beneficiario final, real y/o controlante; es decir, dicho sistema no debe contemplar como únicos métodos la verificación de la información de la contraparte en el Registro Mercantil, o el requerirla directamente a ésta, en tanto se arriesga a no poder contar con la información ya sea porque se trata de aquella que no se refleja en el certificado de existencia y representación, o porque la contraparte se niega a procurarla argumentando la reserva.</w:t>
      </w:r>
    </w:p>
    <w:p w14:paraId="0825517C" w14:textId="77777777" w:rsidR="00304876" w:rsidRDefault="00304876" w:rsidP="00304876">
      <w:pPr>
        <w:pStyle w:val="Sinespaciado"/>
        <w:ind w:left="708"/>
        <w:jc w:val="both"/>
        <w:rPr>
          <w:rFonts w:ascii="Verdana" w:hAnsi="Verdana"/>
        </w:rPr>
      </w:pPr>
    </w:p>
    <w:p w14:paraId="3447C8BD" w14:textId="45B11DD7" w:rsidR="004F48C9" w:rsidRPr="00CC279E" w:rsidRDefault="004F48C9" w:rsidP="00304876">
      <w:pPr>
        <w:pStyle w:val="Sinespaciado"/>
        <w:ind w:left="708"/>
        <w:jc w:val="both"/>
        <w:rPr>
          <w:rFonts w:ascii="Verdana" w:hAnsi="Verdana"/>
        </w:rPr>
      </w:pPr>
      <w:r w:rsidRPr="00CC279E">
        <w:rPr>
          <w:rFonts w:ascii="Verdana" w:hAnsi="Verdana"/>
        </w:rPr>
        <w:t>(</w:t>
      </w:r>
      <w:r w:rsidR="00304876">
        <w:rPr>
          <w:rFonts w:ascii="Verdana" w:hAnsi="Verdana"/>
        </w:rPr>
        <w:t>…</w:t>
      </w:r>
      <w:r w:rsidRPr="00CC279E">
        <w:rPr>
          <w:rFonts w:ascii="Verdana" w:hAnsi="Verdana"/>
        </w:rPr>
        <w:t>)”</w:t>
      </w:r>
    </w:p>
    <w:p w14:paraId="4AFECB86" w14:textId="77777777" w:rsidR="00304876" w:rsidRDefault="00304876" w:rsidP="00CC279E">
      <w:pPr>
        <w:pStyle w:val="Sinespaciado"/>
        <w:jc w:val="both"/>
        <w:rPr>
          <w:rFonts w:ascii="Verdana" w:hAnsi="Verdana"/>
        </w:rPr>
      </w:pPr>
    </w:p>
    <w:p w14:paraId="439808BC" w14:textId="2BD2A128" w:rsidR="004F48C9" w:rsidRPr="00CC279E" w:rsidRDefault="004F48C9" w:rsidP="00CC279E">
      <w:pPr>
        <w:pStyle w:val="Sinespaciado"/>
        <w:jc w:val="both"/>
        <w:rPr>
          <w:rFonts w:ascii="Verdana" w:hAnsi="Verdana"/>
        </w:rPr>
      </w:pPr>
      <w:r w:rsidRPr="00CC279E">
        <w:rPr>
          <w:rFonts w:ascii="Verdana" w:hAnsi="Verdana"/>
        </w:rPr>
        <w:t xml:space="preserve">En los anteriores términos se ha atendido su inquietud, no sin antes </w:t>
      </w:r>
      <w:r w:rsidRPr="00CC279E">
        <w:rPr>
          <w:rFonts w:ascii="Verdana" w:hAnsi="Verdana"/>
        </w:rPr>
        <w:lastRenderedPageBreak/>
        <w:t>manifestarle que el presente oficio tiene los alcances del artículo 28 del Código de Procedimiento Administrativo y de lo Contencioso Administrativo, y que en la Página WEB de ésta entidad puede consultar directamente la normatividad y los conceptos que la misma emite sobre las materias de su competencia los cuales también podrá ubicar en la herramienta Tesauro, entre otros.</w:t>
      </w:r>
    </w:p>
    <w:sectPr w:rsidR="004F48C9" w:rsidRPr="00CC279E" w:rsidSect="00CC279E">
      <w:type w:val="continuous"/>
      <w:pgSz w:w="12240" w:h="15840" w:code="1"/>
      <w:pgMar w:top="1418" w:right="1985" w:bottom="1418" w:left="1985"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EBAC" w14:textId="77777777" w:rsidR="00556112" w:rsidRDefault="00556112">
      <w:r>
        <w:separator/>
      </w:r>
    </w:p>
  </w:endnote>
  <w:endnote w:type="continuationSeparator" w:id="0">
    <w:p w14:paraId="6EBE1793" w14:textId="77777777" w:rsidR="00556112" w:rsidRDefault="0055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F61F" w14:textId="77777777" w:rsidR="00556112" w:rsidRDefault="00556112">
      <w:r>
        <w:separator/>
      </w:r>
    </w:p>
  </w:footnote>
  <w:footnote w:type="continuationSeparator" w:id="0">
    <w:p w14:paraId="7834741A" w14:textId="77777777" w:rsidR="00556112" w:rsidRDefault="00556112">
      <w:r>
        <w:continuationSeparator/>
      </w:r>
    </w:p>
  </w:footnote>
  <w:footnote w:id="1">
    <w:p w14:paraId="347EE30D" w14:textId="2A7EE5B1" w:rsidR="00CA6C26" w:rsidRPr="00CC279E" w:rsidRDefault="00556112" w:rsidP="00CC279E">
      <w:pPr>
        <w:pStyle w:val="Sinespaciado"/>
        <w:jc w:val="both"/>
        <w:rPr>
          <w:rFonts w:ascii="Verdana" w:hAnsi="Verdana"/>
          <w:sz w:val="16"/>
          <w:szCs w:val="16"/>
        </w:rPr>
      </w:pPr>
      <w:r w:rsidRPr="00CC279E">
        <w:rPr>
          <w:rFonts w:ascii="Verdana" w:hAnsi="Verdana"/>
          <w:sz w:val="16"/>
          <w:szCs w:val="16"/>
        </w:rPr>
        <w:footnoteRef/>
      </w:r>
      <w:r w:rsidR="00CC279E">
        <w:rPr>
          <w:rFonts w:ascii="Verdana" w:hAnsi="Verdana"/>
          <w:sz w:val="16"/>
          <w:szCs w:val="16"/>
        </w:rPr>
        <w:t xml:space="preserve"> </w:t>
      </w:r>
      <w:r w:rsidRPr="00CC279E">
        <w:rPr>
          <w:rFonts w:ascii="Verdana" w:hAnsi="Verdana"/>
          <w:sz w:val="16"/>
          <w:szCs w:val="16"/>
        </w:rPr>
        <w:t>Siempre y cuando no estén vigiladas por otra entidad y tengan un</w:t>
      </w:r>
      <w:r w:rsidRPr="00CC279E">
        <w:rPr>
          <w:rFonts w:ascii="Verdana" w:hAnsi="Verdana"/>
          <w:sz w:val="16"/>
          <w:szCs w:val="16"/>
        </w:rPr>
        <w:t xml:space="preserve"> régimen de vigilancia especial en razón de su actividad.</w:t>
      </w:r>
    </w:p>
  </w:footnote>
  <w:footnote w:id="2">
    <w:p w14:paraId="02D93362" w14:textId="2ACD4AFD" w:rsidR="00CA6C26" w:rsidRPr="00125EEC" w:rsidRDefault="00556112" w:rsidP="00125EEC">
      <w:pPr>
        <w:pStyle w:val="Sinespaciado"/>
        <w:jc w:val="both"/>
        <w:rPr>
          <w:rFonts w:ascii="Verdana" w:hAnsi="Verdana"/>
          <w:sz w:val="16"/>
          <w:szCs w:val="16"/>
        </w:rPr>
      </w:pPr>
      <w:r w:rsidRPr="00125EEC">
        <w:rPr>
          <w:rFonts w:ascii="Verdana" w:hAnsi="Verdana"/>
          <w:sz w:val="16"/>
          <w:szCs w:val="16"/>
        </w:rPr>
        <w:footnoteRef/>
      </w:r>
      <w:r w:rsidR="00125EEC">
        <w:rPr>
          <w:rFonts w:ascii="Verdana" w:hAnsi="Verdana"/>
          <w:sz w:val="16"/>
          <w:szCs w:val="16"/>
        </w:rPr>
        <w:t xml:space="preserve"> </w:t>
      </w:r>
      <w:r w:rsidRPr="00125EEC">
        <w:rPr>
          <w:rFonts w:ascii="Verdana" w:hAnsi="Verdana"/>
          <w:sz w:val="16"/>
          <w:szCs w:val="16"/>
        </w:rPr>
        <w:t>Ídem.</w:t>
      </w:r>
    </w:p>
  </w:footnote>
  <w:footnote w:id="3">
    <w:p w14:paraId="6194D8EB" w14:textId="048DF36E" w:rsidR="00CA6C26" w:rsidRPr="00304876" w:rsidRDefault="00556112" w:rsidP="00304876">
      <w:pPr>
        <w:pStyle w:val="Sinespaciado"/>
        <w:jc w:val="both"/>
        <w:rPr>
          <w:rFonts w:ascii="Verdana" w:hAnsi="Verdana"/>
          <w:sz w:val="16"/>
          <w:szCs w:val="16"/>
        </w:rPr>
      </w:pPr>
      <w:r w:rsidRPr="00304876">
        <w:rPr>
          <w:rFonts w:ascii="Verdana" w:hAnsi="Verdana"/>
          <w:sz w:val="16"/>
          <w:szCs w:val="16"/>
        </w:rPr>
        <w:footnoteRef/>
      </w:r>
      <w:r w:rsidR="00304876">
        <w:rPr>
          <w:rFonts w:ascii="Verdana" w:hAnsi="Verdana"/>
          <w:sz w:val="16"/>
          <w:szCs w:val="16"/>
        </w:rPr>
        <w:t xml:space="preserve"> </w:t>
      </w:r>
      <w:r w:rsidRPr="00304876">
        <w:rPr>
          <w:rFonts w:ascii="Verdana" w:hAnsi="Verdana"/>
          <w:sz w:val="16"/>
          <w:szCs w:val="16"/>
        </w:rPr>
        <w:t>Para mayor información remitirse al Capítulo IX de esta Circular</w:t>
      </w:r>
    </w:p>
  </w:footnote>
  <w:footnote w:id="4">
    <w:p w14:paraId="7E7AB68E" w14:textId="11CE6542" w:rsidR="00304876" w:rsidRPr="00304876" w:rsidRDefault="00304876" w:rsidP="00304876">
      <w:pPr>
        <w:pStyle w:val="Sinespaciado"/>
        <w:rPr>
          <w:rFonts w:ascii="Verdana" w:hAnsi="Verdana"/>
          <w:sz w:val="16"/>
          <w:szCs w:val="16"/>
          <w:lang w:val="es-CO"/>
        </w:rPr>
      </w:pPr>
      <w:r w:rsidRPr="00304876">
        <w:rPr>
          <w:rStyle w:val="Refdenotaalpie"/>
          <w:rFonts w:ascii="Verdana" w:hAnsi="Verdana"/>
          <w:sz w:val="16"/>
          <w:szCs w:val="16"/>
        </w:rPr>
        <w:footnoteRef/>
      </w:r>
      <w:r w:rsidRPr="00304876">
        <w:rPr>
          <w:rFonts w:ascii="Verdana" w:hAnsi="Verdana"/>
          <w:sz w:val="16"/>
          <w:szCs w:val="16"/>
        </w:rPr>
        <w:t xml:space="preserve"> </w:t>
      </w:r>
      <w:r w:rsidRPr="00304876">
        <w:rPr>
          <w:rFonts w:ascii="Verdana" w:hAnsi="Verdana"/>
          <w:sz w:val="16"/>
          <w:szCs w:val="16"/>
          <w:lang w:val="es-CO"/>
        </w:rPr>
        <w:t>Siempre que no estén vigiladas por otra entidad y tengan un régimen de vigilancia especial en razón de su actividad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6C1F"/>
    <w:multiLevelType w:val="multilevel"/>
    <w:tmpl w:val="4C3E4C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0284A"/>
    <w:multiLevelType w:val="multilevel"/>
    <w:tmpl w:val="D82821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822AA"/>
    <w:multiLevelType w:val="hybridMultilevel"/>
    <w:tmpl w:val="6966FD4E"/>
    <w:lvl w:ilvl="0" w:tplc="38B853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EB77924"/>
    <w:multiLevelType w:val="hybridMultilevel"/>
    <w:tmpl w:val="419A3B8E"/>
    <w:lvl w:ilvl="0" w:tplc="68B8F59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DD2D3E"/>
    <w:multiLevelType w:val="multilevel"/>
    <w:tmpl w:val="A8FC5E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839BA"/>
    <w:multiLevelType w:val="multilevel"/>
    <w:tmpl w:val="8822FF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77FDA"/>
    <w:multiLevelType w:val="hybridMultilevel"/>
    <w:tmpl w:val="36B08D02"/>
    <w:lvl w:ilvl="0" w:tplc="C8D63E4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0F4EAF"/>
    <w:multiLevelType w:val="multilevel"/>
    <w:tmpl w:val="AC8AA6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72593C"/>
    <w:multiLevelType w:val="multilevel"/>
    <w:tmpl w:val="58DEACA2"/>
    <w:lvl w:ilvl="0">
      <w:start w:val="4"/>
      <w:numFmt w:val="decimal"/>
      <w:lvlText w:val="%1."/>
      <w:lvlJc w:val="left"/>
    </w:lvl>
    <w:lvl w:ilvl="1">
      <w:start w:val="1"/>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62A6F"/>
    <w:multiLevelType w:val="hybridMultilevel"/>
    <w:tmpl w:val="CB203A1A"/>
    <w:lvl w:ilvl="0" w:tplc="A1F85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3660F98"/>
    <w:multiLevelType w:val="hybridMultilevel"/>
    <w:tmpl w:val="FC142B98"/>
    <w:lvl w:ilvl="0" w:tplc="3B72036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40251E47"/>
    <w:multiLevelType w:val="hybridMultilevel"/>
    <w:tmpl w:val="EBB4166A"/>
    <w:lvl w:ilvl="0" w:tplc="909C410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BD7CC3"/>
    <w:multiLevelType w:val="multilevel"/>
    <w:tmpl w:val="3A08D59E"/>
    <w:lvl w:ilvl="0">
      <w:start w:val="1"/>
      <w:numFmt w:val="decimal"/>
      <w:lvlText w:val="4.3.%1."/>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87028"/>
    <w:multiLevelType w:val="multilevel"/>
    <w:tmpl w:val="18248A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C71A14"/>
    <w:multiLevelType w:val="multilevel"/>
    <w:tmpl w:val="3ACC27DE"/>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EA52D2"/>
    <w:multiLevelType w:val="hybridMultilevel"/>
    <w:tmpl w:val="1004DC92"/>
    <w:lvl w:ilvl="0" w:tplc="0B38CF5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4F216C59"/>
    <w:multiLevelType w:val="multilevel"/>
    <w:tmpl w:val="C5C25F24"/>
    <w:lvl w:ilvl="0">
      <w:start w:val="4"/>
      <w:numFmt w:val="decimal"/>
      <w:lvlText w:val="%1."/>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2">
      <w:start w:val="1"/>
      <w:numFmt w:val="decimal"/>
      <w:lvlText w:val="%1.%2.%3."/>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1012DA"/>
    <w:multiLevelType w:val="hybridMultilevel"/>
    <w:tmpl w:val="B4849FBE"/>
    <w:lvl w:ilvl="0" w:tplc="9F6A15E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59F606C9"/>
    <w:multiLevelType w:val="hybridMultilevel"/>
    <w:tmpl w:val="3350E4B2"/>
    <w:lvl w:ilvl="0" w:tplc="155CD34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9C49BD"/>
    <w:multiLevelType w:val="hybridMultilevel"/>
    <w:tmpl w:val="D12289A8"/>
    <w:lvl w:ilvl="0" w:tplc="B6788C4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E72D6A"/>
    <w:multiLevelType w:val="multilevel"/>
    <w:tmpl w:val="052E1A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123294"/>
    <w:multiLevelType w:val="hybridMultilevel"/>
    <w:tmpl w:val="1230F7B0"/>
    <w:lvl w:ilvl="0" w:tplc="CBE8246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61873D9D"/>
    <w:multiLevelType w:val="multilevel"/>
    <w:tmpl w:val="C27ED7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1701C"/>
    <w:multiLevelType w:val="multilevel"/>
    <w:tmpl w:val="41BAE8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DF3EFC"/>
    <w:multiLevelType w:val="multilevel"/>
    <w:tmpl w:val="21FAFF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D11124"/>
    <w:multiLevelType w:val="multilevel"/>
    <w:tmpl w:val="A740E4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8065CF"/>
    <w:multiLevelType w:val="multilevel"/>
    <w:tmpl w:val="29AE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BD4654"/>
    <w:multiLevelType w:val="hybridMultilevel"/>
    <w:tmpl w:val="ACA267CE"/>
    <w:lvl w:ilvl="0" w:tplc="4A68FD3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7DD0622D"/>
    <w:multiLevelType w:val="multilevel"/>
    <w:tmpl w:val="37F88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23"/>
  </w:num>
  <w:num w:numId="4">
    <w:abstractNumId w:val="13"/>
  </w:num>
  <w:num w:numId="5">
    <w:abstractNumId w:val="0"/>
  </w:num>
  <w:num w:numId="6">
    <w:abstractNumId w:val="7"/>
  </w:num>
  <w:num w:numId="7">
    <w:abstractNumId w:val="4"/>
  </w:num>
  <w:num w:numId="8">
    <w:abstractNumId w:val="28"/>
  </w:num>
  <w:num w:numId="9">
    <w:abstractNumId w:val="25"/>
  </w:num>
  <w:num w:numId="10">
    <w:abstractNumId w:val="24"/>
  </w:num>
  <w:num w:numId="11">
    <w:abstractNumId w:val="8"/>
  </w:num>
  <w:num w:numId="12">
    <w:abstractNumId w:val="12"/>
  </w:num>
  <w:num w:numId="13">
    <w:abstractNumId w:val="22"/>
  </w:num>
  <w:num w:numId="14">
    <w:abstractNumId w:val="20"/>
  </w:num>
  <w:num w:numId="15">
    <w:abstractNumId w:val="5"/>
  </w:num>
  <w:num w:numId="16">
    <w:abstractNumId w:val="14"/>
  </w:num>
  <w:num w:numId="17">
    <w:abstractNumId w:val="26"/>
  </w:num>
  <w:num w:numId="18">
    <w:abstractNumId w:val="27"/>
  </w:num>
  <w:num w:numId="19">
    <w:abstractNumId w:val="2"/>
  </w:num>
  <w:num w:numId="20">
    <w:abstractNumId w:val="17"/>
  </w:num>
  <w:num w:numId="21">
    <w:abstractNumId w:val="15"/>
  </w:num>
  <w:num w:numId="22">
    <w:abstractNumId w:val="10"/>
  </w:num>
  <w:num w:numId="23">
    <w:abstractNumId w:val="21"/>
  </w:num>
  <w:num w:numId="24">
    <w:abstractNumId w:val="9"/>
  </w:num>
  <w:num w:numId="25">
    <w:abstractNumId w:val="18"/>
  </w:num>
  <w:num w:numId="26">
    <w:abstractNumId w:val="6"/>
  </w:num>
  <w:num w:numId="27">
    <w:abstractNumId w:val="3"/>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26"/>
    <w:rsid w:val="00125EEC"/>
    <w:rsid w:val="00204D48"/>
    <w:rsid w:val="00304876"/>
    <w:rsid w:val="00461BED"/>
    <w:rsid w:val="004F48C9"/>
    <w:rsid w:val="00556112"/>
    <w:rsid w:val="00CA6C26"/>
    <w:rsid w:val="00CC279E"/>
    <w:rsid w:val="00E66EA6"/>
    <w:rsid w:val="00FD2F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27DC"/>
  <w15:docId w15:val="{F65A18B7-B21E-4A86-9F52-4A31A4D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16"/>
      <w:szCs w:val="16"/>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2105ptoNegrita">
    <w:name w:val="Cuerpo del texto (2) + 10;5 pto;Negrita"/>
    <w:basedOn w:val="Cuerpodeltexto2"/>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paragraph" w:customStyle="1" w:styleId="Cuerpodeltexto40">
    <w:name w:val="Cuerpo del texto (4)"/>
    <w:basedOn w:val="Normal"/>
    <w:link w:val="Cuerpodeltexto4"/>
    <w:pPr>
      <w:shd w:val="clear" w:color="auto" w:fill="FFFFFF"/>
      <w:spacing w:before="420" w:after="240" w:line="0" w:lineRule="atLeast"/>
      <w:jc w:val="both"/>
    </w:pPr>
    <w:rPr>
      <w:rFonts w:ascii="Arial" w:eastAsia="Arial" w:hAnsi="Arial" w:cs="Arial"/>
      <w:sz w:val="16"/>
      <w:szCs w:val="16"/>
    </w:rPr>
  </w:style>
  <w:style w:type="paragraph" w:customStyle="1" w:styleId="Ttulo10">
    <w:name w:val="Título #1"/>
    <w:basedOn w:val="Normal"/>
    <w:link w:val="Ttulo1"/>
    <w:pPr>
      <w:shd w:val="clear" w:color="auto" w:fill="FFFFFF"/>
      <w:spacing w:before="720" w:after="420" w:line="254" w:lineRule="exact"/>
      <w:jc w:val="both"/>
      <w:outlineLvl w:val="0"/>
    </w:pPr>
    <w:rPr>
      <w:rFonts w:ascii="Arial" w:eastAsia="Arial" w:hAnsi="Arial" w:cs="Arial"/>
      <w:b/>
      <w:bCs/>
      <w:sz w:val="21"/>
      <w:szCs w:val="21"/>
    </w:rPr>
  </w:style>
  <w:style w:type="paragraph" w:customStyle="1" w:styleId="Cuerpodeltexto20">
    <w:name w:val="Cuerpo del texto (2)"/>
    <w:basedOn w:val="Normal"/>
    <w:link w:val="Cuerpodeltexto2"/>
    <w:pPr>
      <w:shd w:val="clear" w:color="auto" w:fill="FFFFFF"/>
      <w:spacing w:before="420" w:after="240" w:line="254" w:lineRule="exact"/>
      <w:jc w:val="both"/>
    </w:pPr>
    <w:rPr>
      <w:rFonts w:ascii="Arial" w:eastAsia="Arial" w:hAnsi="Arial" w:cs="Arial"/>
      <w:sz w:val="20"/>
      <w:szCs w:val="20"/>
    </w:rPr>
  </w:style>
  <w:style w:type="paragraph" w:styleId="Sinespaciado">
    <w:name w:val="No Spacing"/>
    <w:uiPriority w:val="1"/>
    <w:qFormat/>
    <w:rsid w:val="00CC279E"/>
    <w:rPr>
      <w:color w:val="000000"/>
    </w:rPr>
  </w:style>
  <w:style w:type="paragraph" w:styleId="Textonotapie">
    <w:name w:val="footnote text"/>
    <w:basedOn w:val="Normal"/>
    <w:link w:val="TextonotapieCar"/>
    <w:uiPriority w:val="99"/>
    <w:semiHidden/>
    <w:unhideWhenUsed/>
    <w:rsid w:val="00304876"/>
    <w:rPr>
      <w:sz w:val="20"/>
      <w:szCs w:val="20"/>
    </w:rPr>
  </w:style>
  <w:style w:type="character" w:customStyle="1" w:styleId="TextonotapieCar">
    <w:name w:val="Texto nota pie Car"/>
    <w:basedOn w:val="Fuentedeprrafopredeter"/>
    <w:link w:val="Textonotapie"/>
    <w:uiPriority w:val="99"/>
    <w:semiHidden/>
    <w:rsid w:val="00304876"/>
    <w:rPr>
      <w:color w:val="000000"/>
      <w:sz w:val="20"/>
      <w:szCs w:val="20"/>
    </w:rPr>
  </w:style>
  <w:style w:type="character" w:styleId="Refdenotaalpie">
    <w:name w:val="footnote reference"/>
    <w:basedOn w:val="Fuentedeprrafopredeter"/>
    <w:uiPriority w:val="99"/>
    <w:semiHidden/>
    <w:unhideWhenUsed/>
    <w:rsid w:val="00304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2173-791B-E94E-8D0D-CDF40C59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Mildred Cardenas</dc:creator>
  <cp:keywords/>
  <cp:lastModifiedBy>Microsoft Office User</cp:lastModifiedBy>
  <cp:revision>2</cp:revision>
  <dcterms:created xsi:type="dcterms:W3CDTF">2022-08-16T14:38:00Z</dcterms:created>
  <dcterms:modified xsi:type="dcterms:W3CDTF">2022-08-16T14:38:00Z</dcterms:modified>
</cp:coreProperties>
</file>