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9A1FC" w14:textId="575CE5C7" w:rsidR="001B05F4" w:rsidRDefault="00F71075" w:rsidP="00F71075">
      <w:pPr>
        <w:pStyle w:val="Sinespaciado"/>
        <w:jc w:val="both"/>
        <w:rPr>
          <w:rStyle w:val="Ttulo11"/>
          <w:rFonts w:ascii="Verdana" w:hAnsi="Verdana"/>
          <w:sz w:val="24"/>
          <w:szCs w:val="24"/>
        </w:rPr>
      </w:pPr>
      <w:bookmarkStart w:id="0" w:name="bookmark0"/>
      <w:bookmarkStart w:id="1" w:name="_GoBack"/>
      <w:bookmarkEnd w:id="1"/>
      <w:r w:rsidRPr="00F71075">
        <w:rPr>
          <w:rStyle w:val="Ttulo11"/>
          <w:rFonts w:ascii="Verdana" w:hAnsi="Verdana"/>
          <w:sz w:val="24"/>
          <w:szCs w:val="24"/>
        </w:rPr>
        <w:t xml:space="preserve">COMUNICADO </w:t>
      </w:r>
      <w:r w:rsidRPr="00F71075">
        <w:rPr>
          <w:rStyle w:val="Ttulo11"/>
          <w:rFonts w:ascii="Verdana" w:hAnsi="Verdana"/>
          <w:sz w:val="24"/>
          <w:szCs w:val="24"/>
          <w:lang w:val="fr-FR" w:eastAsia="fr-FR" w:bidi="fr-FR"/>
        </w:rPr>
        <w:t xml:space="preserve">DE </w:t>
      </w:r>
      <w:r w:rsidRPr="00F71075">
        <w:rPr>
          <w:rStyle w:val="Ttulo11"/>
          <w:rFonts w:ascii="Verdana" w:hAnsi="Verdana"/>
          <w:sz w:val="24"/>
          <w:szCs w:val="24"/>
        </w:rPr>
        <w:t>PRENSA 125</w:t>
      </w:r>
      <w:bookmarkEnd w:id="0"/>
      <w:r>
        <w:rPr>
          <w:rStyle w:val="Ttulo11"/>
          <w:rFonts w:ascii="Verdana" w:hAnsi="Verdana"/>
          <w:sz w:val="24"/>
          <w:szCs w:val="24"/>
        </w:rPr>
        <w:t xml:space="preserve"> DEL 27 DE SEPTIEMBRE DE 2022</w:t>
      </w:r>
    </w:p>
    <w:p w14:paraId="41294176" w14:textId="01784C2F" w:rsidR="00F71075" w:rsidRDefault="00F71075" w:rsidP="00F71075">
      <w:pPr>
        <w:pStyle w:val="Sinespaciado"/>
        <w:jc w:val="both"/>
        <w:rPr>
          <w:rStyle w:val="Ttulo11"/>
          <w:rFonts w:ascii="Verdana" w:hAnsi="Verdana"/>
          <w:sz w:val="24"/>
          <w:szCs w:val="24"/>
        </w:rPr>
      </w:pPr>
      <w:r>
        <w:rPr>
          <w:rStyle w:val="Ttulo11"/>
          <w:rFonts w:ascii="Verdana" w:hAnsi="Verdana"/>
          <w:sz w:val="24"/>
          <w:szCs w:val="24"/>
        </w:rPr>
        <w:t>DIRECCIÓN DE IMPUESTOS Y ADUANAS NACIONALES</w:t>
      </w:r>
      <w:bookmarkStart w:id="2" w:name="bookmark1"/>
    </w:p>
    <w:p w14:paraId="7F0F5527" w14:textId="22B345D7" w:rsidR="00F71075" w:rsidRDefault="00F71075" w:rsidP="00F71075">
      <w:pPr>
        <w:pStyle w:val="Sinespaciado"/>
        <w:jc w:val="both"/>
        <w:rPr>
          <w:rStyle w:val="Ttulo11"/>
          <w:rFonts w:ascii="Verdana" w:hAnsi="Verdana"/>
          <w:sz w:val="24"/>
          <w:szCs w:val="24"/>
        </w:rPr>
      </w:pPr>
    </w:p>
    <w:p w14:paraId="528B1768" w14:textId="0947B1C2" w:rsidR="00F71075" w:rsidRDefault="00F71075" w:rsidP="00F71075">
      <w:pPr>
        <w:pStyle w:val="Sinespaciado"/>
        <w:jc w:val="both"/>
        <w:rPr>
          <w:rStyle w:val="Ttulo11"/>
          <w:rFonts w:ascii="Verdana" w:hAnsi="Verdana"/>
          <w:sz w:val="24"/>
          <w:szCs w:val="24"/>
        </w:rPr>
      </w:pPr>
      <w:r w:rsidRPr="00F71075">
        <w:rPr>
          <w:rStyle w:val="Ttulo11"/>
          <w:rFonts w:ascii="Verdana" w:hAnsi="Verdana"/>
          <w:noProof/>
          <w:sz w:val="24"/>
          <w:szCs w:val="24"/>
        </w:rPr>
        <w:drawing>
          <wp:inline distT="0" distB="0" distL="0" distR="0" wp14:anchorId="1E7B13A1" wp14:editId="3534DED6">
            <wp:extent cx="5971540" cy="2032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A5C38" w14:textId="77777777" w:rsidR="00F71075" w:rsidRDefault="00F71075" w:rsidP="00F71075">
      <w:pPr>
        <w:pStyle w:val="Sinespaciado"/>
        <w:jc w:val="both"/>
        <w:rPr>
          <w:rStyle w:val="Ttulo11"/>
          <w:rFonts w:ascii="Verdana" w:hAnsi="Verdana"/>
          <w:sz w:val="24"/>
          <w:szCs w:val="24"/>
        </w:rPr>
      </w:pPr>
    </w:p>
    <w:p w14:paraId="7B680C72" w14:textId="66C1294D" w:rsidR="001B05F4" w:rsidRPr="00F71075" w:rsidRDefault="00180362" w:rsidP="00F71075">
      <w:pPr>
        <w:pStyle w:val="Sinespaciado"/>
        <w:jc w:val="both"/>
        <w:rPr>
          <w:rFonts w:ascii="Verdana" w:hAnsi="Verdana"/>
          <w:b/>
          <w:bCs/>
        </w:rPr>
      </w:pPr>
      <w:r w:rsidRPr="00F71075">
        <w:rPr>
          <w:rStyle w:val="Ttulo221"/>
          <w:rFonts w:ascii="Verdana" w:hAnsi="Verdana"/>
          <w:b/>
          <w:bCs/>
          <w:sz w:val="24"/>
          <w:szCs w:val="24"/>
        </w:rPr>
        <w:t>En el marco del día del amor y la amistad, comercio de calzado, prendas de vestir, bares y restaurantes a cumplirle a la DIAN.</w:t>
      </w:r>
      <w:bookmarkEnd w:id="2"/>
    </w:p>
    <w:p w14:paraId="6BE669DE" w14:textId="77777777" w:rsidR="00F71075" w:rsidRDefault="00F71075" w:rsidP="00F71075">
      <w:pPr>
        <w:pStyle w:val="Sinespaciado"/>
        <w:jc w:val="both"/>
        <w:rPr>
          <w:rStyle w:val="Ttulo31"/>
          <w:rFonts w:ascii="Verdana" w:hAnsi="Verdana"/>
        </w:rPr>
      </w:pPr>
      <w:bookmarkStart w:id="3" w:name="bookmark2"/>
    </w:p>
    <w:p w14:paraId="61B271B1" w14:textId="7490A3BC" w:rsidR="001B05F4" w:rsidRPr="00F71075" w:rsidRDefault="00180362" w:rsidP="00F71075">
      <w:pPr>
        <w:pStyle w:val="Sinespaciado"/>
        <w:jc w:val="both"/>
        <w:rPr>
          <w:rFonts w:ascii="Verdana" w:hAnsi="Verdana"/>
        </w:rPr>
      </w:pPr>
      <w:r w:rsidRPr="00F71075">
        <w:rPr>
          <w:rStyle w:val="Ttulo31"/>
          <w:rFonts w:ascii="Verdana" w:hAnsi="Verdana"/>
        </w:rPr>
        <w:t xml:space="preserve">Bogotá D. C., 27 de </w:t>
      </w:r>
      <w:r w:rsidRPr="00F71075">
        <w:rPr>
          <w:rStyle w:val="Ttulo31"/>
          <w:rFonts w:ascii="Verdana" w:hAnsi="Verdana"/>
        </w:rPr>
        <w:t>septiembre de 2022</w:t>
      </w:r>
      <w:bookmarkEnd w:id="3"/>
    </w:p>
    <w:p w14:paraId="13B3AA57" w14:textId="77777777" w:rsidR="00F71075" w:rsidRDefault="00F71075" w:rsidP="00F71075">
      <w:pPr>
        <w:pStyle w:val="Sinespaciado"/>
        <w:jc w:val="both"/>
        <w:rPr>
          <w:rStyle w:val="Cuerpodeltexto21"/>
          <w:rFonts w:ascii="Verdana" w:hAnsi="Verdana"/>
        </w:rPr>
      </w:pPr>
    </w:p>
    <w:p w14:paraId="15C06BF2" w14:textId="485583F2" w:rsidR="001B05F4" w:rsidRPr="00F71075" w:rsidRDefault="00180362" w:rsidP="00F71075">
      <w:pPr>
        <w:pStyle w:val="Sinespaciado"/>
        <w:jc w:val="both"/>
        <w:rPr>
          <w:rFonts w:ascii="Verdana" w:hAnsi="Verdana"/>
        </w:rPr>
      </w:pPr>
      <w:r w:rsidRPr="00F71075">
        <w:rPr>
          <w:rStyle w:val="Cuerpodeltexto21"/>
          <w:rFonts w:ascii="Verdana" w:hAnsi="Verdana"/>
        </w:rPr>
        <w:t xml:space="preserve">Alrededor de </w:t>
      </w:r>
      <w:r w:rsidRPr="00F71075">
        <w:rPr>
          <w:rStyle w:val="Cuerpodeltexto2Negrita"/>
          <w:rFonts w:ascii="Verdana" w:hAnsi="Verdana"/>
        </w:rPr>
        <w:t xml:space="preserve">7.500 contribuyentes </w:t>
      </w:r>
      <w:r w:rsidRPr="00F71075">
        <w:rPr>
          <w:rStyle w:val="Cuerpodeltexto21"/>
          <w:rFonts w:ascii="Verdana" w:hAnsi="Verdana"/>
        </w:rPr>
        <w:t xml:space="preserve">de las actividades económicas de comercio de </w:t>
      </w:r>
      <w:r w:rsidRPr="00F71075">
        <w:rPr>
          <w:rStyle w:val="Cuerpodeltexto2Negrita"/>
          <w:rFonts w:ascii="Verdana" w:hAnsi="Verdana"/>
        </w:rPr>
        <w:t xml:space="preserve">calzado, prendas de vestir, bares y restaurantes </w:t>
      </w:r>
      <w:r w:rsidRPr="00F71075">
        <w:rPr>
          <w:rStyle w:val="Cuerpodeltexto21"/>
          <w:rFonts w:ascii="Verdana" w:hAnsi="Verdana"/>
        </w:rPr>
        <w:t>fueron identificados por la Dirección de Impuestos y Aduanas Nacionales -DIAN al tener obligaciones tributar</w:t>
      </w:r>
      <w:r w:rsidRPr="00F71075">
        <w:rPr>
          <w:rStyle w:val="Cuerpodeltexto21"/>
          <w:rFonts w:ascii="Verdana" w:hAnsi="Verdana"/>
        </w:rPr>
        <w:t xml:space="preserve">ias pendientes de pago con la entidad. La cartera adeudada por estos contribuyentes es cercana a los </w:t>
      </w:r>
      <w:r w:rsidRPr="00F71075">
        <w:rPr>
          <w:rStyle w:val="Cuerpodeltexto2Negrita"/>
          <w:rFonts w:ascii="Verdana" w:hAnsi="Verdana"/>
        </w:rPr>
        <w:t>$1,1 billones</w:t>
      </w:r>
      <w:r w:rsidRPr="00F71075">
        <w:rPr>
          <w:rStyle w:val="Cuerpodeltexto21"/>
          <w:rFonts w:ascii="Verdana" w:hAnsi="Verdana"/>
        </w:rPr>
        <w:t>.</w:t>
      </w:r>
    </w:p>
    <w:p w14:paraId="3B23769C" w14:textId="77777777" w:rsidR="00F71075" w:rsidRDefault="00F71075" w:rsidP="00F71075">
      <w:pPr>
        <w:pStyle w:val="Sinespaciado"/>
        <w:jc w:val="both"/>
        <w:rPr>
          <w:rStyle w:val="Cuerpodeltexto21"/>
          <w:rFonts w:ascii="Verdana" w:hAnsi="Verdana"/>
        </w:rPr>
      </w:pPr>
    </w:p>
    <w:p w14:paraId="11F9D1D3" w14:textId="6E9A93C2" w:rsidR="001B05F4" w:rsidRPr="00F71075" w:rsidRDefault="00180362" w:rsidP="00F71075">
      <w:pPr>
        <w:pStyle w:val="Sinespaciado"/>
        <w:jc w:val="both"/>
        <w:rPr>
          <w:rFonts w:ascii="Verdana" w:hAnsi="Verdana"/>
        </w:rPr>
      </w:pPr>
      <w:r w:rsidRPr="00F71075">
        <w:rPr>
          <w:rStyle w:val="Cuerpodeltexto21"/>
          <w:rFonts w:ascii="Verdana" w:hAnsi="Verdana"/>
        </w:rPr>
        <w:t>De esta forma, la DIAN enfocará este mes esfuerzos y acciones del Plan de Cobro y Fiscalización, en el marco de las jornadas “Al día con la</w:t>
      </w:r>
      <w:r w:rsidRPr="00F71075">
        <w:rPr>
          <w:rStyle w:val="Cuerpodeltexto21"/>
          <w:rFonts w:ascii="Verdana" w:hAnsi="Verdana"/>
        </w:rPr>
        <w:t xml:space="preserve"> DIAN le cumplo al país" a dichas actividades económicas, que, a propósito de la celebración del día del amor y la amistad, verán fortalecidas sus operaciones de comercio.</w:t>
      </w:r>
    </w:p>
    <w:p w14:paraId="7B1556B6" w14:textId="77777777" w:rsidR="00F71075" w:rsidRDefault="00F71075" w:rsidP="00F71075">
      <w:pPr>
        <w:pStyle w:val="Sinespaciado"/>
        <w:jc w:val="both"/>
        <w:rPr>
          <w:rStyle w:val="Cuerpodeltexto21"/>
          <w:rFonts w:ascii="Verdana" w:hAnsi="Verdana"/>
        </w:rPr>
      </w:pPr>
    </w:p>
    <w:p w14:paraId="37F333E4" w14:textId="5A89FF55" w:rsidR="001B05F4" w:rsidRPr="00F71075" w:rsidRDefault="00180362" w:rsidP="00F71075">
      <w:pPr>
        <w:pStyle w:val="Sinespaciado"/>
        <w:jc w:val="both"/>
        <w:rPr>
          <w:rFonts w:ascii="Verdana" w:hAnsi="Verdana"/>
        </w:rPr>
      </w:pPr>
      <w:r w:rsidRPr="00F71075">
        <w:rPr>
          <w:rStyle w:val="Cuerpodeltexto21"/>
          <w:rFonts w:ascii="Verdana" w:hAnsi="Verdana"/>
        </w:rPr>
        <w:t>En los análisis de datos y mediciones adelantados por la entidad, se evidenció que,</w:t>
      </w:r>
      <w:r w:rsidRPr="00F71075">
        <w:rPr>
          <w:rStyle w:val="Cuerpodeltexto21"/>
          <w:rFonts w:ascii="Verdana" w:hAnsi="Verdana"/>
        </w:rPr>
        <w:t xml:space="preserve"> de acuerdo con la actividad económica desarrollada, cerca del 88% de la cartera de estos deudores se concentran en el comercio al por mayor de calzado y prendas de vestir. El restante, en las actividades económicas de expendio de comidas preparadas y lico</w:t>
      </w:r>
      <w:r w:rsidRPr="00F71075">
        <w:rPr>
          <w:rStyle w:val="Cuerpodeltexto21"/>
          <w:rFonts w:ascii="Verdana" w:hAnsi="Verdana"/>
        </w:rPr>
        <w:t>res.</w:t>
      </w:r>
    </w:p>
    <w:p w14:paraId="01D5CA1C" w14:textId="77777777" w:rsidR="00F71075" w:rsidRDefault="00F71075" w:rsidP="00F71075">
      <w:pPr>
        <w:pStyle w:val="Sinespaciado"/>
        <w:jc w:val="both"/>
        <w:rPr>
          <w:rStyle w:val="Cuerpodeltexto21"/>
          <w:rFonts w:ascii="Verdana" w:hAnsi="Verdana"/>
        </w:rPr>
      </w:pPr>
    </w:p>
    <w:p w14:paraId="081A7A10" w14:textId="7CAC8777" w:rsidR="001B05F4" w:rsidRPr="00F71075" w:rsidRDefault="00180362" w:rsidP="00F71075">
      <w:pPr>
        <w:pStyle w:val="Sinespaciado"/>
        <w:jc w:val="both"/>
        <w:rPr>
          <w:rFonts w:ascii="Verdana" w:hAnsi="Verdana"/>
        </w:rPr>
      </w:pPr>
      <w:r w:rsidRPr="00F71075">
        <w:rPr>
          <w:rStyle w:val="Cuerpodeltexto21"/>
          <w:rFonts w:ascii="Verdana" w:hAnsi="Verdana"/>
        </w:rPr>
        <w:t xml:space="preserve">Con respecto a la zona de influencia geográfica y las cifras de cartera vencida, el 85% de los deudores se encuentran en la jurisdicción de las </w:t>
      </w:r>
      <w:r w:rsidRPr="00F71075">
        <w:rPr>
          <w:rStyle w:val="Cuerpodeltexto21"/>
          <w:rFonts w:ascii="Verdana" w:hAnsi="Verdana"/>
        </w:rPr>
        <w:lastRenderedPageBreak/>
        <w:t xml:space="preserve">seccionales de Bogotá (44%), Cali (11%), Barranquilla (10%), Medellín (8%) y la Dirección Operativa de </w:t>
      </w:r>
      <w:r w:rsidRPr="00F71075">
        <w:rPr>
          <w:rStyle w:val="Cuerpodeltexto21"/>
          <w:rFonts w:ascii="Verdana" w:hAnsi="Verdana"/>
        </w:rPr>
        <w:t>Grandes Contribuyentes (12%). Adicionalmente, se pudo identificar que, el 75% de los deudores son personas jurídicas, el 11% personas naturales y el 14% restante están catalogados como gran contribuyente.</w:t>
      </w:r>
    </w:p>
    <w:p w14:paraId="6D50537B" w14:textId="77777777" w:rsidR="00F71075" w:rsidRDefault="00F71075" w:rsidP="00F71075">
      <w:pPr>
        <w:pStyle w:val="Sinespaciado"/>
        <w:jc w:val="both"/>
        <w:rPr>
          <w:rStyle w:val="Cuerpodeltexto21"/>
          <w:rFonts w:ascii="Verdana" w:hAnsi="Verdana"/>
        </w:rPr>
      </w:pPr>
    </w:p>
    <w:p w14:paraId="7AC96F2E" w14:textId="01B73A9D" w:rsidR="001B05F4" w:rsidRPr="00F71075" w:rsidRDefault="00180362" w:rsidP="00F71075">
      <w:pPr>
        <w:pStyle w:val="Sinespaciado"/>
        <w:jc w:val="both"/>
        <w:rPr>
          <w:rFonts w:ascii="Verdana" w:hAnsi="Verdana"/>
        </w:rPr>
      </w:pPr>
      <w:r w:rsidRPr="00F71075">
        <w:rPr>
          <w:rStyle w:val="Cuerpodeltexto21"/>
          <w:rFonts w:ascii="Verdana" w:hAnsi="Verdana"/>
        </w:rPr>
        <w:t>La DIAN hace un llamado a estos grupos de contribu</w:t>
      </w:r>
      <w:r w:rsidRPr="00F71075">
        <w:rPr>
          <w:rStyle w:val="Cuerpodeltexto21"/>
          <w:rFonts w:ascii="Verdana" w:hAnsi="Verdana"/>
        </w:rPr>
        <w:t>yentes para que se pongan al día en sus obligaciones, y les ofrece disposición del personal para entregar la información que facilite el pago de dichas obligaciones. En los próximos días se establecerá contacto con estos contribuyentes en mora y con quiene</w:t>
      </w:r>
      <w:r w:rsidRPr="00F71075">
        <w:rPr>
          <w:rStyle w:val="Cuerpodeltexto21"/>
          <w:rFonts w:ascii="Verdana" w:hAnsi="Verdana"/>
        </w:rPr>
        <w:t>s se esté adelantando el proceso de cobro para orientarles en el proceso a llevar a cabo.</w:t>
      </w:r>
    </w:p>
    <w:p w14:paraId="2A211901" w14:textId="77777777" w:rsidR="00F71075" w:rsidRDefault="00F71075" w:rsidP="00F71075">
      <w:pPr>
        <w:pStyle w:val="Sinespaciado"/>
        <w:jc w:val="both"/>
        <w:rPr>
          <w:rStyle w:val="Cuerpodeltexto21"/>
          <w:rFonts w:ascii="Verdana" w:hAnsi="Verdana"/>
        </w:rPr>
      </w:pPr>
    </w:p>
    <w:p w14:paraId="1CBB40D5" w14:textId="3D9F7A3C" w:rsidR="001B05F4" w:rsidRPr="00F71075" w:rsidRDefault="00180362" w:rsidP="00F71075">
      <w:pPr>
        <w:pStyle w:val="Sinespaciado"/>
        <w:jc w:val="both"/>
        <w:rPr>
          <w:rFonts w:ascii="Verdana" w:hAnsi="Verdana"/>
        </w:rPr>
      </w:pPr>
      <w:r w:rsidRPr="00F71075">
        <w:rPr>
          <w:rStyle w:val="Cuerpodeltexto21"/>
          <w:rFonts w:ascii="Verdana" w:hAnsi="Verdana"/>
        </w:rPr>
        <w:t>En lo que tiene que ver con las acciones de Fiscalización, se adelantará una jornada de control de obligaciones formales en diferentes ciudades del país a establecim</w:t>
      </w:r>
      <w:r w:rsidRPr="00F71075">
        <w:rPr>
          <w:rStyle w:val="Cuerpodeltexto21"/>
          <w:rFonts w:ascii="Verdana" w:hAnsi="Verdana"/>
        </w:rPr>
        <w:t>ientos que desarrollan actividades comerciales en almacenes generales, tiendas por departamento o de comercio al por menor, de prendas de vestir, calzado, prestación de servicios de bares y restaurantes.</w:t>
      </w:r>
    </w:p>
    <w:p w14:paraId="0428C122" w14:textId="77777777" w:rsidR="00F71075" w:rsidRDefault="00F71075" w:rsidP="00F71075">
      <w:pPr>
        <w:pStyle w:val="Sinespaciado"/>
        <w:jc w:val="both"/>
        <w:rPr>
          <w:rStyle w:val="Cuerpodeltexto21"/>
          <w:rFonts w:ascii="Verdana" w:hAnsi="Verdana"/>
        </w:rPr>
      </w:pPr>
    </w:p>
    <w:p w14:paraId="56B2EE70" w14:textId="52C90099" w:rsidR="001B05F4" w:rsidRPr="00F71075" w:rsidRDefault="00180362" w:rsidP="00F71075">
      <w:pPr>
        <w:pStyle w:val="Sinespaciado"/>
        <w:jc w:val="both"/>
        <w:rPr>
          <w:rFonts w:ascii="Verdana" w:hAnsi="Verdana"/>
        </w:rPr>
      </w:pPr>
      <w:r w:rsidRPr="00F71075">
        <w:rPr>
          <w:rStyle w:val="Cuerpodeltexto21"/>
          <w:rFonts w:ascii="Verdana" w:hAnsi="Verdana"/>
        </w:rPr>
        <w:t>Paralelamente, se verificarán las demás obligacione</w:t>
      </w:r>
      <w:r w:rsidRPr="00F71075">
        <w:rPr>
          <w:rStyle w:val="Cuerpodeltexto21"/>
          <w:rFonts w:ascii="Verdana" w:hAnsi="Verdana"/>
        </w:rPr>
        <w:t>s formales y sustanciales de comerciantes del país.</w:t>
      </w:r>
    </w:p>
    <w:p w14:paraId="6B8D1DDA" w14:textId="77777777" w:rsidR="00F71075" w:rsidRDefault="00F71075" w:rsidP="00F71075">
      <w:pPr>
        <w:pStyle w:val="Sinespaciado"/>
        <w:jc w:val="both"/>
        <w:rPr>
          <w:rStyle w:val="Cuerpodeltexto21"/>
          <w:rFonts w:ascii="Verdana" w:hAnsi="Verdana"/>
        </w:rPr>
      </w:pPr>
    </w:p>
    <w:p w14:paraId="29722E55" w14:textId="2A85D6C5" w:rsidR="001B05F4" w:rsidRPr="00F71075" w:rsidRDefault="00180362" w:rsidP="00F71075">
      <w:pPr>
        <w:pStyle w:val="Sinespaciado"/>
        <w:jc w:val="both"/>
        <w:rPr>
          <w:rFonts w:ascii="Verdana" w:hAnsi="Verdana"/>
        </w:rPr>
      </w:pPr>
      <w:r w:rsidRPr="00F71075">
        <w:rPr>
          <w:rStyle w:val="Cuerpodeltexto21"/>
          <w:rFonts w:ascii="Verdana" w:hAnsi="Verdana"/>
        </w:rPr>
        <w:t>A lo anterior se suman las acciones de control aduanero a establecimientos de comercio de mercancía de origen extranjero relacionada con la celebración del amor y la amistad.</w:t>
      </w:r>
    </w:p>
    <w:p w14:paraId="0494E6E1" w14:textId="77777777" w:rsidR="00F71075" w:rsidRDefault="00F71075" w:rsidP="00F71075">
      <w:pPr>
        <w:pStyle w:val="Sinespaciado"/>
        <w:jc w:val="both"/>
        <w:rPr>
          <w:rStyle w:val="Cuerpodeltexto21"/>
          <w:rFonts w:ascii="Verdana" w:hAnsi="Verdana"/>
        </w:rPr>
      </w:pPr>
    </w:p>
    <w:p w14:paraId="1C683F15" w14:textId="1FBF2FAE" w:rsidR="001B05F4" w:rsidRPr="00F71075" w:rsidRDefault="00180362" w:rsidP="00F71075">
      <w:pPr>
        <w:pStyle w:val="Sinespaciado"/>
        <w:jc w:val="both"/>
        <w:rPr>
          <w:rFonts w:ascii="Verdana" w:hAnsi="Verdana"/>
        </w:rPr>
      </w:pPr>
      <w:r w:rsidRPr="00F71075">
        <w:rPr>
          <w:rStyle w:val="Cuerpodeltexto21"/>
          <w:rFonts w:ascii="Verdana" w:hAnsi="Verdana"/>
        </w:rPr>
        <w:t xml:space="preserve">Finalmente, como resultado </w:t>
      </w:r>
      <w:r w:rsidRPr="00F71075">
        <w:rPr>
          <w:rStyle w:val="Cuerpodeltexto21"/>
          <w:rFonts w:ascii="Verdana" w:hAnsi="Verdana"/>
        </w:rPr>
        <w:t xml:space="preserve">del desarrollo de las acciones de control a las personas vinculadas con el comercio de calzado y de prendas de vestir, se han obtenido ingresos por pago de sanciones de </w:t>
      </w:r>
      <w:r w:rsidRPr="00F71075">
        <w:rPr>
          <w:rStyle w:val="Cuerpodeltexto2Negrita"/>
          <w:rFonts w:ascii="Verdana" w:hAnsi="Verdana"/>
        </w:rPr>
        <w:t>$48.579.670.</w:t>
      </w:r>
    </w:p>
    <w:p w14:paraId="7E2334D1" w14:textId="77777777" w:rsidR="00F71075" w:rsidRDefault="00F71075" w:rsidP="00F71075">
      <w:pPr>
        <w:pStyle w:val="Sinespaciado"/>
        <w:jc w:val="both"/>
        <w:rPr>
          <w:rStyle w:val="Ttulo31"/>
          <w:rFonts w:ascii="Verdana" w:hAnsi="Verdana"/>
        </w:rPr>
      </w:pPr>
      <w:bookmarkStart w:id="4" w:name="bookmark3"/>
    </w:p>
    <w:p w14:paraId="6648D80D" w14:textId="5F69EFD9" w:rsidR="001B05F4" w:rsidRPr="00F71075" w:rsidRDefault="00180362" w:rsidP="00F71075">
      <w:pPr>
        <w:pStyle w:val="Sinespaciado"/>
        <w:jc w:val="both"/>
        <w:rPr>
          <w:rFonts w:ascii="Verdana" w:hAnsi="Verdana"/>
        </w:rPr>
      </w:pPr>
      <w:r w:rsidRPr="00F71075">
        <w:rPr>
          <w:rStyle w:val="Ttulo31"/>
          <w:rFonts w:ascii="Verdana" w:hAnsi="Verdana"/>
        </w:rPr>
        <w:t>Resultados lucha contra la evasión</w:t>
      </w:r>
      <w:bookmarkEnd w:id="4"/>
    </w:p>
    <w:p w14:paraId="5E03E854" w14:textId="77777777" w:rsidR="00F71075" w:rsidRDefault="00F71075" w:rsidP="00F71075">
      <w:pPr>
        <w:pStyle w:val="Sinespaciado"/>
        <w:jc w:val="both"/>
        <w:rPr>
          <w:rStyle w:val="Cuerpodeltexto21"/>
          <w:rFonts w:ascii="Verdana" w:hAnsi="Verdana"/>
        </w:rPr>
      </w:pPr>
    </w:p>
    <w:p w14:paraId="1395593F" w14:textId="27AE1FBA" w:rsidR="001B05F4" w:rsidRPr="00F71075" w:rsidRDefault="00180362" w:rsidP="00F71075">
      <w:pPr>
        <w:pStyle w:val="Sinespaciado"/>
        <w:jc w:val="both"/>
        <w:rPr>
          <w:rFonts w:ascii="Verdana" w:hAnsi="Verdana"/>
        </w:rPr>
      </w:pPr>
      <w:r w:rsidRPr="00F71075">
        <w:rPr>
          <w:rStyle w:val="Cuerpodeltexto21"/>
          <w:rFonts w:ascii="Verdana" w:hAnsi="Verdana"/>
        </w:rPr>
        <w:t xml:space="preserve">Entre enero y agosto, como resultado de las acciones de lucha contra la evasión y el contrabando, la entidad alcanzó un valor de </w:t>
      </w:r>
      <w:r w:rsidRPr="00F71075">
        <w:rPr>
          <w:rStyle w:val="Cuerpodeltexto2Negrita"/>
          <w:rFonts w:ascii="Verdana" w:hAnsi="Verdana"/>
        </w:rPr>
        <w:t>$20,94 billones</w:t>
      </w:r>
      <w:r w:rsidRPr="00F71075">
        <w:rPr>
          <w:rStyle w:val="Cuerpodeltexto21"/>
          <w:rFonts w:ascii="Verdana" w:hAnsi="Verdana"/>
        </w:rPr>
        <w:t xml:space="preserve">, el cual está representado en </w:t>
      </w:r>
      <w:r w:rsidRPr="00F71075">
        <w:rPr>
          <w:rStyle w:val="Cuerpodeltexto2Negrita"/>
          <w:rFonts w:ascii="Verdana" w:hAnsi="Verdana"/>
        </w:rPr>
        <w:t xml:space="preserve">$16,39 billones </w:t>
      </w:r>
      <w:r w:rsidRPr="00F71075">
        <w:rPr>
          <w:rStyle w:val="Cuerpodeltexto21"/>
          <w:rFonts w:ascii="Verdana" w:hAnsi="Verdana"/>
        </w:rPr>
        <w:t xml:space="preserve">de ingresos efectivos y </w:t>
      </w:r>
      <w:r w:rsidRPr="00F71075">
        <w:rPr>
          <w:rStyle w:val="Cuerpodeltexto2Negrita"/>
          <w:rFonts w:ascii="Verdana" w:hAnsi="Verdana"/>
        </w:rPr>
        <w:t xml:space="preserve">$4,56 billones </w:t>
      </w:r>
      <w:r w:rsidRPr="00F71075">
        <w:rPr>
          <w:rStyle w:val="Cuerpodeltexto21"/>
          <w:rFonts w:ascii="Verdana" w:hAnsi="Verdana"/>
        </w:rPr>
        <w:t>por gestión de fiscalizaci</w:t>
      </w:r>
      <w:r w:rsidRPr="00F71075">
        <w:rPr>
          <w:rStyle w:val="Cuerpodeltexto21"/>
          <w:rFonts w:ascii="Verdana" w:hAnsi="Verdana"/>
        </w:rPr>
        <w:t>ón.</w:t>
      </w:r>
    </w:p>
    <w:p w14:paraId="05EF659F" w14:textId="77777777" w:rsidR="00F71075" w:rsidRDefault="00F71075" w:rsidP="00F71075">
      <w:pPr>
        <w:pStyle w:val="Sinespaciado"/>
        <w:jc w:val="both"/>
        <w:rPr>
          <w:rStyle w:val="Cuerpodeltexto21"/>
          <w:rFonts w:ascii="Verdana" w:hAnsi="Verdana"/>
        </w:rPr>
      </w:pPr>
    </w:p>
    <w:p w14:paraId="638D764A" w14:textId="56F4BC7A" w:rsidR="001B05F4" w:rsidRPr="00F71075" w:rsidRDefault="00180362" w:rsidP="00F71075">
      <w:pPr>
        <w:pStyle w:val="Sinespaciado"/>
        <w:jc w:val="both"/>
        <w:rPr>
          <w:rFonts w:ascii="Verdana" w:hAnsi="Verdana"/>
        </w:rPr>
      </w:pPr>
      <w:r w:rsidRPr="00F71075">
        <w:rPr>
          <w:rStyle w:val="Cuerpodeltexto21"/>
          <w:rFonts w:ascii="Verdana" w:hAnsi="Verdana"/>
        </w:rPr>
        <w:t xml:space="preserve">Estas cifras evidencian un crecimiento porcentual acumulado de </w:t>
      </w:r>
      <w:r w:rsidRPr="00F71075">
        <w:rPr>
          <w:rStyle w:val="Cuerpodeltexto2Negrita"/>
          <w:rFonts w:ascii="Verdana" w:hAnsi="Verdana"/>
        </w:rPr>
        <w:t xml:space="preserve">41,6 % </w:t>
      </w:r>
      <w:r w:rsidRPr="00F71075">
        <w:rPr>
          <w:rStyle w:val="Cuerpodeltexto21"/>
          <w:rFonts w:ascii="Verdana" w:hAnsi="Verdana"/>
        </w:rPr>
        <w:t>con corte a 31 de agosto de 2022, comparado con el mismo periodo del año anterior.</w:t>
      </w:r>
    </w:p>
    <w:sectPr w:rsidR="001B05F4" w:rsidRPr="00F71075" w:rsidSect="00F71075">
      <w:pgSz w:w="12240" w:h="15840" w:code="1"/>
      <w:pgMar w:top="1985" w:right="1418" w:bottom="1985" w:left="1418" w:header="709" w:footer="12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04CE6" w14:textId="77777777" w:rsidR="00180362" w:rsidRDefault="00180362">
      <w:r>
        <w:separator/>
      </w:r>
    </w:p>
  </w:endnote>
  <w:endnote w:type="continuationSeparator" w:id="0">
    <w:p w14:paraId="0330B563" w14:textId="77777777" w:rsidR="00180362" w:rsidRDefault="0018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EB219" w14:textId="77777777" w:rsidR="00180362" w:rsidRDefault="00180362"/>
  </w:footnote>
  <w:footnote w:type="continuationSeparator" w:id="0">
    <w:p w14:paraId="135AB955" w14:textId="77777777" w:rsidR="00180362" w:rsidRDefault="001803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F4"/>
    <w:rsid w:val="00180362"/>
    <w:rsid w:val="001B05F4"/>
    <w:rsid w:val="003E61C4"/>
    <w:rsid w:val="00835C22"/>
    <w:rsid w:val="00F7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8A0EBB"/>
  <w15:docId w15:val="{742B8691-A433-4EE0-B389-C3F4457C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Ttulo1">
    <w:name w:val="Título #1_"/>
    <w:basedOn w:val="Fuentedeprrafopredeter"/>
    <w:link w:val="Ttulo10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Ttulo11">
    <w:name w:val="Título #1"/>
    <w:basedOn w:val="Ttulo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es-ES" w:eastAsia="es-ES" w:bidi="es-ES"/>
    </w:rPr>
  </w:style>
  <w:style w:type="character" w:customStyle="1" w:styleId="Ttulo22">
    <w:name w:val="Título #2 (2)_"/>
    <w:basedOn w:val="Fuentedeprrafopredeter"/>
    <w:link w:val="Ttulo22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Ttulo221">
    <w:name w:val="Título #2 (2)"/>
    <w:basedOn w:val="Ttulo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s-ES" w:eastAsia="es-ES" w:bidi="es-ES"/>
    </w:rPr>
  </w:style>
  <w:style w:type="character" w:customStyle="1" w:styleId="Ttulo3">
    <w:name w:val="Título #3_"/>
    <w:basedOn w:val="Fuentedeprrafopredeter"/>
    <w:link w:val="Ttulo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tulo31">
    <w:name w:val="Título #3"/>
    <w:basedOn w:val="Ttulo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Cuerpodeltexto2">
    <w:name w:val="Cuerpo del texto (2)_"/>
    <w:basedOn w:val="Fuentedeprrafopredeter"/>
    <w:link w:val="Cuerpodeltexto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uerpodeltexto21">
    <w:name w:val="Cuerpo del texto (2)"/>
    <w:basedOn w:val="Cuerpodeltexto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Cuerpodeltexto2Negrita">
    <w:name w:val="Cuerpo del texto (2) + Negrita"/>
    <w:basedOn w:val="Cuerpodeltexto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customStyle="1" w:styleId="Ttulo220">
    <w:name w:val="Título #2 (2)"/>
    <w:basedOn w:val="Normal"/>
    <w:link w:val="Ttulo22"/>
    <w:pPr>
      <w:shd w:val="clear" w:color="auto" w:fill="FFFFFF"/>
      <w:spacing w:before="4200" w:after="180" w:line="398" w:lineRule="exact"/>
      <w:outlineLvl w:val="1"/>
    </w:pPr>
    <w:rPr>
      <w:rFonts w:ascii="Arial" w:eastAsia="Arial" w:hAnsi="Arial" w:cs="Arial"/>
      <w:sz w:val="36"/>
      <w:szCs w:val="36"/>
    </w:rPr>
  </w:style>
  <w:style w:type="paragraph" w:customStyle="1" w:styleId="Ttulo30">
    <w:name w:val="Título #3"/>
    <w:basedOn w:val="Normal"/>
    <w:link w:val="Ttulo3"/>
    <w:pPr>
      <w:shd w:val="clear" w:color="auto" w:fill="FFFFFF"/>
      <w:spacing w:before="180" w:after="480" w:line="0" w:lineRule="atLeast"/>
      <w:outlineLvl w:val="2"/>
    </w:pPr>
    <w:rPr>
      <w:rFonts w:ascii="Arial" w:eastAsia="Arial" w:hAnsi="Arial" w:cs="Arial"/>
      <w:b/>
      <w:bCs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before="480" w:after="300" w:line="360" w:lineRule="exact"/>
    </w:pPr>
    <w:rPr>
      <w:rFonts w:ascii="Arial" w:eastAsia="Arial" w:hAnsi="Arial" w:cs="Arial"/>
    </w:rPr>
  </w:style>
  <w:style w:type="paragraph" w:styleId="Sinespaciado">
    <w:name w:val="No Spacing"/>
    <w:uiPriority w:val="1"/>
    <w:qFormat/>
    <w:rsid w:val="00F7107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 No. 125</dc:title>
  <dc:subject/>
  <dc:creator>Microsoft Office User</dc:creator>
  <cp:keywords/>
  <cp:lastModifiedBy>Microsoft Office User</cp:lastModifiedBy>
  <cp:revision>2</cp:revision>
  <dcterms:created xsi:type="dcterms:W3CDTF">2022-09-28T20:12:00Z</dcterms:created>
  <dcterms:modified xsi:type="dcterms:W3CDTF">2022-09-28T20:12:00Z</dcterms:modified>
</cp:coreProperties>
</file>