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8E6E8" w14:textId="13472112" w:rsidR="00BF0F2A" w:rsidRPr="00BF0F2A" w:rsidRDefault="00BF0F2A" w:rsidP="00BF0F2A">
      <w:pPr>
        <w:pStyle w:val="Sinespaciado"/>
        <w:jc w:val="both"/>
        <w:rPr>
          <w:rFonts w:ascii="Verdana" w:hAnsi="Verdana"/>
          <w:b/>
          <w:bCs/>
        </w:rPr>
      </w:pPr>
      <w:bookmarkStart w:id="0" w:name="bookmark0"/>
      <w:bookmarkStart w:id="1" w:name="_GoBack"/>
      <w:bookmarkEnd w:id="1"/>
      <w:r w:rsidRPr="00BF0F2A">
        <w:rPr>
          <w:rFonts w:ascii="Verdana" w:hAnsi="Verdana"/>
          <w:b/>
          <w:bCs/>
        </w:rPr>
        <w:t>COMUNICADO DE PRENSA DEL 6 DE OCTUBRE DE 2022</w:t>
      </w:r>
    </w:p>
    <w:p w14:paraId="32795ACA" w14:textId="77777777" w:rsidR="00BF0F2A" w:rsidRDefault="00BF0F2A" w:rsidP="00BF0F2A">
      <w:pPr>
        <w:pStyle w:val="Sinespaciado"/>
        <w:jc w:val="both"/>
        <w:rPr>
          <w:rFonts w:ascii="Verdana" w:hAnsi="Verdana"/>
          <w:b/>
          <w:bCs/>
        </w:rPr>
      </w:pPr>
      <w:r w:rsidRPr="00BF0F2A">
        <w:rPr>
          <w:rFonts w:ascii="Verdana" w:hAnsi="Verdana"/>
          <w:b/>
          <w:bCs/>
        </w:rPr>
        <w:t>MINISTERIO DE HACIENDA Y CRÉDITO PÚBLICO</w:t>
      </w:r>
    </w:p>
    <w:p w14:paraId="402FDC93" w14:textId="77777777" w:rsidR="00BF0F2A" w:rsidRDefault="00BF0F2A" w:rsidP="00BF0F2A">
      <w:pPr>
        <w:pStyle w:val="Sinespaciado"/>
        <w:jc w:val="both"/>
        <w:rPr>
          <w:rFonts w:ascii="Verdana" w:hAnsi="Verdana"/>
          <w:b/>
          <w:bCs/>
        </w:rPr>
      </w:pPr>
    </w:p>
    <w:p w14:paraId="6D7AEB95" w14:textId="749CD8A3" w:rsidR="004D2742" w:rsidRPr="00BF0F2A" w:rsidRDefault="0062703E" w:rsidP="00BF0F2A">
      <w:pPr>
        <w:pStyle w:val="Sinespaciado"/>
        <w:jc w:val="both"/>
        <w:rPr>
          <w:rFonts w:ascii="Verdana" w:hAnsi="Verdana"/>
          <w:b/>
          <w:bCs/>
        </w:rPr>
      </w:pPr>
      <w:r w:rsidRPr="00BF0F2A">
        <w:rPr>
          <w:rFonts w:ascii="Verdana" w:hAnsi="Verdana"/>
          <w:b/>
          <w:bCs/>
        </w:rPr>
        <w:t>Recaudo de la Reforma Tributaria para la Igualdad y la Justicia Social llegará a $24.4 billones en 2026</w:t>
      </w:r>
      <w:bookmarkEnd w:id="0"/>
    </w:p>
    <w:p w14:paraId="0532BDA9" w14:textId="77777777" w:rsidR="00BF0F2A" w:rsidRDefault="00BF0F2A" w:rsidP="00BF0F2A">
      <w:pPr>
        <w:pStyle w:val="Sinespaciado"/>
        <w:jc w:val="both"/>
        <w:rPr>
          <w:rFonts w:ascii="Verdana" w:hAnsi="Verdana"/>
        </w:rPr>
      </w:pPr>
    </w:p>
    <w:p w14:paraId="3BC04B4B" w14:textId="77777777" w:rsidR="00BF0F2A" w:rsidRDefault="0062703E" w:rsidP="00BF0F2A">
      <w:pPr>
        <w:pStyle w:val="Sinespaciado"/>
        <w:numPr>
          <w:ilvl w:val="0"/>
          <w:numId w:val="2"/>
        </w:numPr>
        <w:jc w:val="both"/>
        <w:rPr>
          <w:rFonts w:ascii="Verdana" w:hAnsi="Verdana"/>
        </w:rPr>
      </w:pPr>
      <w:r w:rsidRPr="00BF0F2A">
        <w:rPr>
          <w:rFonts w:ascii="Verdana" w:hAnsi="Verdana"/>
        </w:rPr>
        <w:t xml:space="preserve">Tras una amplia discusión, el proyecto fue aprobado en primer </w:t>
      </w:r>
      <w:r w:rsidRPr="00BF0F2A">
        <w:rPr>
          <w:rFonts w:ascii="Verdana" w:hAnsi="Verdana"/>
        </w:rPr>
        <w:t>debate por parte de las comisiones terceras de la Cámara de Representantes y el Senado de la República.</w:t>
      </w:r>
    </w:p>
    <w:p w14:paraId="1CC1FC44" w14:textId="77777777" w:rsidR="00BF0F2A" w:rsidRDefault="0062703E" w:rsidP="00BF0F2A">
      <w:pPr>
        <w:pStyle w:val="Sinespaciado"/>
        <w:numPr>
          <w:ilvl w:val="0"/>
          <w:numId w:val="2"/>
        </w:numPr>
        <w:jc w:val="both"/>
        <w:rPr>
          <w:rFonts w:ascii="Verdana" w:hAnsi="Verdana"/>
        </w:rPr>
      </w:pPr>
      <w:r w:rsidRPr="00BF0F2A">
        <w:rPr>
          <w:rFonts w:ascii="Verdana" w:hAnsi="Verdana"/>
        </w:rPr>
        <w:t xml:space="preserve">Para el 2023, se recaudarán </w:t>
      </w:r>
      <w:r w:rsidRPr="00BF0F2A">
        <w:rPr>
          <w:rStyle w:val="Cuerpodeltexto41"/>
          <w:rFonts w:ascii="Verdana" w:hAnsi="Verdana"/>
          <w:sz w:val="24"/>
          <w:szCs w:val="24"/>
        </w:rPr>
        <w:t>$11.3</w:t>
      </w:r>
      <w:r w:rsidRPr="00BF0F2A">
        <w:rPr>
          <w:rFonts w:ascii="Verdana" w:hAnsi="Verdana"/>
        </w:rPr>
        <w:t xml:space="preserve"> billones por concepto de impuestos al uso del subsuelo, $2.9 billones por impuestos a personas naturales y $3 billones</w:t>
      </w:r>
      <w:r w:rsidRPr="00BF0F2A">
        <w:rPr>
          <w:rFonts w:ascii="Verdana" w:hAnsi="Verdana"/>
        </w:rPr>
        <w:t xml:space="preserve"> a personas jurídicas, </w:t>
      </w:r>
      <w:r w:rsidRPr="00BF0F2A">
        <w:rPr>
          <w:rStyle w:val="Cuerpodeltexto41"/>
          <w:rFonts w:ascii="Verdana" w:hAnsi="Verdana"/>
          <w:sz w:val="24"/>
          <w:szCs w:val="24"/>
        </w:rPr>
        <w:t>$1.3</w:t>
      </w:r>
      <w:r w:rsidRPr="00BF0F2A">
        <w:rPr>
          <w:rFonts w:ascii="Verdana" w:hAnsi="Verdana"/>
        </w:rPr>
        <w:t xml:space="preserve"> billones por impuestos saludables, $84 mil millones por tributos ambienta les y $3.0 billones por el conjunto de otras medidas.</w:t>
      </w:r>
    </w:p>
    <w:p w14:paraId="2D438157" w14:textId="11C5B715" w:rsidR="00BF0F2A" w:rsidRDefault="0062703E" w:rsidP="00BF0F2A">
      <w:pPr>
        <w:pStyle w:val="Sinespaciado"/>
        <w:numPr>
          <w:ilvl w:val="0"/>
          <w:numId w:val="2"/>
        </w:numPr>
        <w:jc w:val="both"/>
        <w:rPr>
          <w:rFonts w:ascii="Verdana" w:hAnsi="Verdana"/>
        </w:rPr>
      </w:pPr>
      <w:r w:rsidRPr="00BF0F2A">
        <w:rPr>
          <w:rFonts w:ascii="Verdana" w:hAnsi="Verdana"/>
        </w:rPr>
        <w:t xml:space="preserve">El recaudo por uso del subsuelo disminuirá periódicamente así: </w:t>
      </w:r>
      <w:r w:rsidRPr="00BF0F2A">
        <w:rPr>
          <w:rStyle w:val="Cuerpodeltexto41"/>
          <w:rFonts w:ascii="Verdana" w:hAnsi="Verdana"/>
          <w:sz w:val="24"/>
          <w:szCs w:val="24"/>
        </w:rPr>
        <w:t xml:space="preserve">$11.3 </w:t>
      </w:r>
      <w:r w:rsidRPr="00BF0F2A">
        <w:rPr>
          <w:rFonts w:ascii="Verdana" w:hAnsi="Verdana"/>
        </w:rPr>
        <w:t>billones en 2023, $8.9 billones</w:t>
      </w:r>
      <w:r w:rsidRPr="00BF0F2A">
        <w:rPr>
          <w:rFonts w:ascii="Verdana" w:hAnsi="Verdana"/>
        </w:rPr>
        <w:t xml:space="preserve"> en 2024, unos $6.6 billones en 2025</w:t>
      </w:r>
      <w:r w:rsidR="00BF0F2A">
        <w:rPr>
          <w:rFonts w:ascii="Verdana" w:hAnsi="Verdana"/>
        </w:rPr>
        <w:t xml:space="preserve"> </w:t>
      </w:r>
      <w:r w:rsidRPr="00BF0F2A">
        <w:rPr>
          <w:rFonts w:ascii="Verdana" w:hAnsi="Verdana"/>
        </w:rPr>
        <w:t xml:space="preserve">y </w:t>
      </w:r>
      <w:r w:rsidRPr="00BF0F2A">
        <w:rPr>
          <w:rStyle w:val="Cuerpodeltexto41"/>
          <w:rFonts w:ascii="Verdana" w:hAnsi="Verdana"/>
          <w:sz w:val="24"/>
          <w:szCs w:val="24"/>
        </w:rPr>
        <w:t xml:space="preserve">$6.1 </w:t>
      </w:r>
      <w:r w:rsidRPr="00BF0F2A">
        <w:rPr>
          <w:rFonts w:ascii="Verdana" w:hAnsi="Verdana"/>
        </w:rPr>
        <w:t>billones en 2026.</w:t>
      </w:r>
    </w:p>
    <w:p w14:paraId="34581127" w14:textId="77777777" w:rsidR="00BF0F2A" w:rsidRDefault="0062703E" w:rsidP="00BF0F2A">
      <w:pPr>
        <w:pStyle w:val="Sinespaciado"/>
        <w:numPr>
          <w:ilvl w:val="0"/>
          <w:numId w:val="2"/>
        </w:numPr>
        <w:jc w:val="both"/>
        <w:rPr>
          <w:rFonts w:ascii="Verdana" w:hAnsi="Verdana"/>
        </w:rPr>
      </w:pPr>
      <w:r w:rsidRPr="00BF0F2A">
        <w:rPr>
          <w:rFonts w:ascii="Verdana" w:hAnsi="Verdana"/>
        </w:rPr>
        <w:t xml:space="preserve">El recaudo proveniente de personas naturales sumará $2.9 billones en 2023, </w:t>
      </w:r>
      <w:r w:rsidRPr="00BF0F2A">
        <w:rPr>
          <w:rStyle w:val="Cuerpodeltexto41"/>
          <w:rFonts w:ascii="Verdana" w:hAnsi="Verdana"/>
          <w:sz w:val="24"/>
          <w:szCs w:val="24"/>
        </w:rPr>
        <w:t>$3.7</w:t>
      </w:r>
      <w:r w:rsidRPr="00BF0F2A">
        <w:rPr>
          <w:rFonts w:ascii="Verdana" w:hAnsi="Verdana"/>
        </w:rPr>
        <w:t xml:space="preserve"> billones en 2024, unos $3.9 billones en 2025y alrededor de </w:t>
      </w:r>
      <w:r w:rsidRPr="00BF0F2A">
        <w:rPr>
          <w:rStyle w:val="Cuerpodeltexto41"/>
          <w:rFonts w:ascii="Verdana" w:hAnsi="Verdana"/>
          <w:sz w:val="24"/>
          <w:szCs w:val="24"/>
        </w:rPr>
        <w:t xml:space="preserve">$4.2 </w:t>
      </w:r>
      <w:r w:rsidRPr="00BF0F2A">
        <w:rPr>
          <w:rFonts w:ascii="Verdana" w:hAnsi="Verdana"/>
        </w:rPr>
        <w:t>billones en 2026.</w:t>
      </w:r>
    </w:p>
    <w:p w14:paraId="76483770" w14:textId="29E79551" w:rsidR="004D2742" w:rsidRPr="00BF0F2A" w:rsidRDefault="0062703E" w:rsidP="00BF0F2A">
      <w:pPr>
        <w:pStyle w:val="Sinespaciado"/>
        <w:numPr>
          <w:ilvl w:val="0"/>
          <w:numId w:val="2"/>
        </w:numPr>
        <w:jc w:val="both"/>
        <w:rPr>
          <w:rFonts w:ascii="Verdana" w:hAnsi="Verdana"/>
        </w:rPr>
      </w:pPr>
      <w:r w:rsidRPr="00BF0F2A">
        <w:rPr>
          <w:rFonts w:ascii="Verdana" w:hAnsi="Verdana"/>
        </w:rPr>
        <w:t>“La construcción de esta iniciat</w:t>
      </w:r>
      <w:r w:rsidRPr="00BF0F2A">
        <w:rPr>
          <w:rFonts w:ascii="Verdana" w:hAnsi="Verdana"/>
        </w:rPr>
        <w:t>iva es la respuesta al clamor de justicia tributaria e igualdad social. Sabemos que se debe surtir el debate en las plenarias, pero hemos dado un gran paso hoy”, indicó el ministro de Hacienda y Crédito Público, José Antonio Ocampo.</w:t>
      </w:r>
    </w:p>
    <w:p w14:paraId="03F62167" w14:textId="77777777" w:rsidR="00BF0F2A" w:rsidRDefault="00BF0F2A" w:rsidP="00BF0F2A">
      <w:pPr>
        <w:pStyle w:val="Sinespaciado"/>
        <w:jc w:val="both"/>
        <w:rPr>
          <w:rStyle w:val="Cuerpodeltexto2115ptoNegrita"/>
          <w:rFonts w:ascii="Verdana" w:hAnsi="Verdana"/>
          <w:sz w:val="24"/>
          <w:szCs w:val="24"/>
        </w:rPr>
      </w:pPr>
    </w:p>
    <w:p w14:paraId="4B83B7FA" w14:textId="3196DF02" w:rsidR="004D2742" w:rsidRPr="00BF0F2A" w:rsidRDefault="0062703E" w:rsidP="00BF0F2A">
      <w:pPr>
        <w:pStyle w:val="Sinespaciado"/>
        <w:jc w:val="both"/>
        <w:rPr>
          <w:rFonts w:ascii="Verdana" w:hAnsi="Verdana"/>
        </w:rPr>
      </w:pPr>
      <w:r w:rsidRPr="00BF0F2A">
        <w:rPr>
          <w:rStyle w:val="Cuerpodeltexto2115ptoNegrita"/>
          <w:rFonts w:ascii="Verdana" w:hAnsi="Verdana"/>
          <w:sz w:val="24"/>
          <w:szCs w:val="24"/>
        </w:rPr>
        <w:t>Bogotá D.C., 6 de octu</w:t>
      </w:r>
      <w:r w:rsidRPr="00BF0F2A">
        <w:rPr>
          <w:rStyle w:val="Cuerpodeltexto2115ptoNegrita"/>
          <w:rFonts w:ascii="Verdana" w:hAnsi="Verdana"/>
          <w:sz w:val="24"/>
          <w:szCs w:val="24"/>
        </w:rPr>
        <w:t xml:space="preserve">bre de 2022. </w:t>
      </w:r>
      <w:r w:rsidRPr="00BF0F2A">
        <w:rPr>
          <w:rFonts w:ascii="Verdana" w:hAnsi="Verdana"/>
        </w:rPr>
        <w:t>La Reforma Tributaria para la Igualdad y la Justicia Social fue aprobada por amplias mayorías en su primer debate en las comisiones terceras de la Cámara de Representantes y el Senado de la República, dando así el primer paso para lograr un re</w:t>
      </w:r>
      <w:r w:rsidRPr="00BF0F2A">
        <w:rPr>
          <w:rFonts w:ascii="Verdana" w:hAnsi="Verdana"/>
        </w:rPr>
        <w:t>caudo histórico, que igualará a Colombia por primera vez con el resto de América Latina.</w:t>
      </w:r>
    </w:p>
    <w:p w14:paraId="12FF26A4" w14:textId="77777777" w:rsidR="00BF0F2A" w:rsidRDefault="00BF0F2A" w:rsidP="00BF0F2A">
      <w:pPr>
        <w:pStyle w:val="Sinespaciado"/>
        <w:jc w:val="both"/>
        <w:rPr>
          <w:rFonts w:ascii="Verdana" w:hAnsi="Verdana"/>
        </w:rPr>
      </w:pPr>
    </w:p>
    <w:p w14:paraId="0548EA47" w14:textId="4A4A14A4" w:rsidR="004D2742" w:rsidRPr="00BF0F2A" w:rsidRDefault="0062703E" w:rsidP="00BF0F2A">
      <w:pPr>
        <w:pStyle w:val="Sinespaciado"/>
        <w:jc w:val="both"/>
        <w:rPr>
          <w:rFonts w:ascii="Verdana" w:hAnsi="Verdana"/>
        </w:rPr>
      </w:pPr>
      <w:r w:rsidRPr="00BF0F2A">
        <w:rPr>
          <w:rFonts w:ascii="Verdana" w:hAnsi="Verdana"/>
        </w:rPr>
        <w:t>Con las modificaciones que se introdujeron durante dos meses de larga y pública discusión, el recaudo que se obtendrá en el 2023 llegará a los $21.5 billones, en 2024</w:t>
      </w:r>
      <w:r w:rsidRPr="00BF0F2A">
        <w:rPr>
          <w:rFonts w:ascii="Verdana" w:hAnsi="Verdana"/>
        </w:rPr>
        <w:t xml:space="preserve"> $22.7 billones, en 2025 $23.1 billones y en 2026 $24.4</w:t>
      </w:r>
      <w:r w:rsidR="00BF0F2A">
        <w:rPr>
          <w:rFonts w:ascii="Verdana" w:hAnsi="Verdana"/>
        </w:rPr>
        <w:t xml:space="preserve"> </w:t>
      </w:r>
      <w:r w:rsidRPr="00BF0F2A">
        <w:rPr>
          <w:rFonts w:ascii="Verdana" w:hAnsi="Verdana"/>
        </w:rPr>
        <w:t>billones, demostrando la progres</w:t>
      </w:r>
      <w:r w:rsidR="00BF0F2A">
        <w:rPr>
          <w:rFonts w:ascii="Verdana" w:hAnsi="Verdana"/>
        </w:rPr>
        <w:t>i</w:t>
      </w:r>
      <w:r w:rsidRPr="00BF0F2A">
        <w:rPr>
          <w:rFonts w:ascii="Verdana" w:hAnsi="Verdana"/>
        </w:rPr>
        <w:t xml:space="preserve">vidad y gradualidad de la </w:t>
      </w:r>
      <w:r w:rsidR="00BF0F2A">
        <w:rPr>
          <w:rFonts w:ascii="Verdana" w:hAnsi="Verdana"/>
        </w:rPr>
        <w:t>i</w:t>
      </w:r>
      <w:r w:rsidRPr="00BF0F2A">
        <w:rPr>
          <w:rFonts w:ascii="Verdana" w:hAnsi="Verdana"/>
        </w:rPr>
        <w:t>niciativa.</w:t>
      </w:r>
    </w:p>
    <w:p w14:paraId="7583B68B" w14:textId="77777777" w:rsidR="00BF0F2A" w:rsidRDefault="00BF0F2A" w:rsidP="00BF0F2A">
      <w:pPr>
        <w:pStyle w:val="Sinespaciado"/>
        <w:jc w:val="both"/>
        <w:rPr>
          <w:rFonts w:ascii="Verdana" w:hAnsi="Verdana"/>
        </w:rPr>
      </w:pPr>
    </w:p>
    <w:p w14:paraId="59505ED0" w14:textId="1E79395B" w:rsidR="004D2742" w:rsidRPr="00BF0F2A" w:rsidRDefault="0062703E" w:rsidP="00BF0F2A">
      <w:pPr>
        <w:pStyle w:val="Sinespaciado"/>
        <w:jc w:val="both"/>
        <w:rPr>
          <w:rFonts w:ascii="Verdana" w:hAnsi="Verdana"/>
        </w:rPr>
      </w:pPr>
      <w:r w:rsidRPr="00BF0F2A">
        <w:rPr>
          <w:rFonts w:ascii="Verdana" w:hAnsi="Verdana"/>
        </w:rPr>
        <w:t xml:space="preserve">“Gracias al trabajo tan </w:t>
      </w:r>
      <w:r w:rsidR="00BF0F2A">
        <w:rPr>
          <w:rFonts w:ascii="Verdana" w:hAnsi="Verdana"/>
        </w:rPr>
        <w:t>i</w:t>
      </w:r>
      <w:r w:rsidRPr="00BF0F2A">
        <w:rPr>
          <w:rFonts w:ascii="Verdana" w:hAnsi="Verdana"/>
        </w:rPr>
        <w:t>ntenso que hemos adelantado durante dos meses en conjunto con los congresistas, a quienes agradezco por</w:t>
      </w:r>
      <w:r w:rsidRPr="00BF0F2A">
        <w:rPr>
          <w:rFonts w:ascii="Verdana" w:hAnsi="Verdana"/>
        </w:rPr>
        <w:t xml:space="preserve"> el importante aporte que han hecho a la </w:t>
      </w:r>
      <w:r w:rsidR="00BF0F2A">
        <w:rPr>
          <w:rFonts w:ascii="Verdana" w:hAnsi="Verdana"/>
        </w:rPr>
        <w:t>i</w:t>
      </w:r>
      <w:r w:rsidRPr="00BF0F2A">
        <w:rPr>
          <w:rFonts w:ascii="Verdana" w:hAnsi="Verdana"/>
        </w:rPr>
        <w:t>niciativa, hoy tenemos un mejor proyecto, y aunque falta por surtir el paso por plenar</w:t>
      </w:r>
      <w:r w:rsidR="00BF0F2A">
        <w:rPr>
          <w:rFonts w:ascii="Verdana" w:hAnsi="Verdana"/>
        </w:rPr>
        <w:t>i</w:t>
      </w:r>
      <w:r w:rsidRPr="00BF0F2A">
        <w:rPr>
          <w:rFonts w:ascii="Verdana" w:hAnsi="Verdana"/>
        </w:rPr>
        <w:t>as, se ha dado un Importante paso hoy”, señaló el ministro de Hacienda y Crédito Público, José Antonio Ocampo Gav</w:t>
      </w:r>
      <w:r w:rsidR="00BF0F2A">
        <w:rPr>
          <w:rFonts w:ascii="Verdana" w:hAnsi="Verdana"/>
        </w:rPr>
        <w:t>iria</w:t>
      </w:r>
      <w:r w:rsidRPr="00BF0F2A">
        <w:rPr>
          <w:rFonts w:ascii="Verdana" w:hAnsi="Verdana"/>
        </w:rPr>
        <w:t>.</w:t>
      </w:r>
    </w:p>
    <w:p w14:paraId="7A82E1CE" w14:textId="77777777" w:rsidR="00BF0F2A" w:rsidRDefault="00BF0F2A" w:rsidP="00BF0F2A">
      <w:pPr>
        <w:pStyle w:val="Sinespaciado"/>
        <w:jc w:val="both"/>
        <w:rPr>
          <w:rFonts w:ascii="Verdana" w:hAnsi="Verdana"/>
        </w:rPr>
      </w:pPr>
    </w:p>
    <w:p w14:paraId="7B52342A" w14:textId="53602309" w:rsidR="004D2742" w:rsidRPr="00BF0F2A" w:rsidRDefault="0062703E" w:rsidP="00BF0F2A">
      <w:pPr>
        <w:pStyle w:val="Sinespaciado"/>
        <w:jc w:val="both"/>
        <w:rPr>
          <w:rFonts w:ascii="Verdana" w:hAnsi="Verdana"/>
        </w:rPr>
      </w:pPr>
      <w:r w:rsidRPr="00BF0F2A">
        <w:rPr>
          <w:rFonts w:ascii="Verdana" w:hAnsi="Verdana"/>
        </w:rPr>
        <w:lastRenderedPageBreak/>
        <w:t xml:space="preserve">Cabe </w:t>
      </w:r>
      <w:r w:rsidRPr="00BF0F2A">
        <w:rPr>
          <w:rFonts w:ascii="Verdana" w:hAnsi="Verdana"/>
        </w:rPr>
        <w:t>recordar que entre las principales modificaciones se destaca la eliminación de los impuestos a las exportaciones de petróleo y carbón, que se reemplazaron por dos normas: se restableció la no deduc</w:t>
      </w:r>
      <w:r w:rsidR="00BF0F2A">
        <w:rPr>
          <w:rFonts w:ascii="Verdana" w:hAnsi="Verdana"/>
        </w:rPr>
        <w:t>i</w:t>
      </w:r>
      <w:r w:rsidRPr="00BF0F2A">
        <w:rPr>
          <w:rFonts w:ascii="Verdana" w:hAnsi="Verdana"/>
        </w:rPr>
        <w:t>b</w:t>
      </w:r>
      <w:r w:rsidR="00BF0F2A">
        <w:rPr>
          <w:rFonts w:ascii="Verdana" w:hAnsi="Verdana"/>
        </w:rPr>
        <w:t>i</w:t>
      </w:r>
      <w:r w:rsidRPr="00BF0F2A">
        <w:rPr>
          <w:rFonts w:ascii="Verdana" w:hAnsi="Verdana"/>
        </w:rPr>
        <w:t>l</w:t>
      </w:r>
      <w:r w:rsidR="00BF0F2A">
        <w:rPr>
          <w:rFonts w:ascii="Verdana" w:hAnsi="Verdana"/>
        </w:rPr>
        <w:t>i</w:t>
      </w:r>
      <w:r w:rsidRPr="00BF0F2A">
        <w:rPr>
          <w:rFonts w:ascii="Verdana" w:hAnsi="Verdana"/>
        </w:rPr>
        <w:t xml:space="preserve">dad de regalías y el establecimiento de una sobretasa </w:t>
      </w:r>
      <w:r w:rsidRPr="00BF0F2A">
        <w:rPr>
          <w:rFonts w:ascii="Verdana" w:hAnsi="Verdana"/>
        </w:rPr>
        <w:t>en el Impuesto de renta a las empresas mineras y petroleras, que equivale al 10% en el primer año, 7,5% en el segundo y 5% en el tercero.</w:t>
      </w:r>
    </w:p>
    <w:p w14:paraId="194BD844" w14:textId="77777777" w:rsidR="00BF0F2A" w:rsidRDefault="00BF0F2A" w:rsidP="00BF0F2A">
      <w:pPr>
        <w:pStyle w:val="Sinespaciado"/>
        <w:jc w:val="both"/>
        <w:rPr>
          <w:rFonts w:ascii="Verdana" w:hAnsi="Verdana"/>
        </w:rPr>
      </w:pPr>
    </w:p>
    <w:p w14:paraId="1BA830F6" w14:textId="7F4BF2A0" w:rsidR="004D2742" w:rsidRPr="00BF0F2A" w:rsidRDefault="0062703E" w:rsidP="00BF0F2A">
      <w:pPr>
        <w:pStyle w:val="Sinespaciado"/>
        <w:jc w:val="both"/>
        <w:rPr>
          <w:rFonts w:ascii="Verdana" w:hAnsi="Verdana"/>
        </w:rPr>
      </w:pPr>
      <w:r w:rsidRPr="00BF0F2A">
        <w:rPr>
          <w:rFonts w:ascii="Verdana" w:hAnsi="Verdana"/>
        </w:rPr>
        <w:t xml:space="preserve">En cuanto al </w:t>
      </w:r>
      <w:r w:rsidR="00BF0F2A">
        <w:rPr>
          <w:rFonts w:ascii="Verdana" w:hAnsi="Verdana"/>
        </w:rPr>
        <w:t>i</w:t>
      </w:r>
      <w:r w:rsidRPr="00BF0F2A">
        <w:rPr>
          <w:rFonts w:ascii="Verdana" w:hAnsi="Verdana"/>
        </w:rPr>
        <w:t>mpuesto al patrimonio, Ocampo Gav</w:t>
      </w:r>
      <w:r w:rsidR="00BF0F2A">
        <w:rPr>
          <w:rFonts w:ascii="Verdana" w:hAnsi="Verdana"/>
        </w:rPr>
        <w:t>i</w:t>
      </w:r>
      <w:r w:rsidRPr="00BF0F2A">
        <w:rPr>
          <w:rFonts w:ascii="Verdana" w:hAnsi="Verdana"/>
        </w:rPr>
        <w:t>r</w:t>
      </w:r>
      <w:r w:rsidR="00BF0F2A">
        <w:rPr>
          <w:rFonts w:ascii="Verdana" w:hAnsi="Verdana"/>
        </w:rPr>
        <w:t>i</w:t>
      </w:r>
      <w:r w:rsidRPr="00BF0F2A">
        <w:rPr>
          <w:rFonts w:ascii="Verdana" w:hAnsi="Verdana"/>
        </w:rPr>
        <w:t>a detalló que será progresivo. Las tarifas marginales serán a parti</w:t>
      </w:r>
      <w:r w:rsidRPr="00BF0F2A">
        <w:rPr>
          <w:rFonts w:ascii="Verdana" w:hAnsi="Verdana"/>
        </w:rPr>
        <w:t>r de 0,5% para los patrimonios de más de $3.000 millones, 1% para los de más de $5.000 millones y únicamente por cuatro años, del 1,5% para los de más de $10.000 millones.</w:t>
      </w:r>
    </w:p>
    <w:p w14:paraId="06682245" w14:textId="77777777" w:rsidR="00BF0F2A" w:rsidRDefault="00BF0F2A" w:rsidP="00BF0F2A">
      <w:pPr>
        <w:pStyle w:val="Sinespaciado"/>
        <w:jc w:val="both"/>
        <w:rPr>
          <w:rFonts w:ascii="Verdana" w:hAnsi="Verdana"/>
        </w:rPr>
      </w:pPr>
    </w:p>
    <w:p w14:paraId="1E6B1108" w14:textId="1FA7E0CF" w:rsidR="004D2742" w:rsidRPr="00BF0F2A" w:rsidRDefault="0062703E" w:rsidP="00BF0F2A">
      <w:pPr>
        <w:pStyle w:val="Sinespaciado"/>
        <w:jc w:val="both"/>
        <w:rPr>
          <w:rFonts w:ascii="Verdana" w:hAnsi="Verdana"/>
        </w:rPr>
      </w:pPr>
      <w:r w:rsidRPr="00BF0F2A">
        <w:rPr>
          <w:rFonts w:ascii="Verdana" w:hAnsi="Verdana"/>
        </w:rPr>
        <w:t>Así mismo, resaltó que se redujo la lista de los alimentos ultraprocesados gravados</w:t>
      </w:r>
      <w:r w:rsidRPr="00BF0F2A">
        <w:rPr>
          <w:rFonts w:ascii="Verdana" w:hAnsi="Verdana"/>
        </w:rPr>
        <w:t>, para evitar una afectación a los hogares más vulnerables y a los tenderos.</w:t>
      </w:r>
    </w:p>
    <w:p w14:paraId="250F97B6" w14:textId="77777777" w:rsidR="00BF0F2A" w:rsidRDefault="00BF0F2A" w:rsidP="00BF0F2A">
      <w:pPr>
        <w:pStyle w:val="Sinespaciado"/>
        <w:jc w:val="both"/>
        <w:rPr>
          <w:rFonts w:ascii="Verdana" w:hAnsi="Verdana"/>
        </w:rPr>
      </w:pPr>
    </w:p>
    <w:p w14:paraId="0C791436" w14:textId="53D848FA" w:rsidR="004D2742" w:rsidRPr="00BF0F2A" w:rsidRDefault="0062703E" w:rsidP="00BF0F2A">
      <w:pPr>
        <w:pStyle w:val="Sinespaciado"/>
        <w:jc w:val="both"/>
        <w:rPr>
          <w:rFonts w:ascii="Verdana" w:hAnsi="Verdana"/>
        </w:rPr>
      </w:pPr>
      <w:r w:rsidRPr="00BF0F2A">
        <w:rPr>
          <w:rFonts w:ascii="Verdana" w:hAnsi="Verdana"/>
        </w:rPr>
        <w:t>“Otro cambio Importante que fue acordado fue el del Régimen SIMPLE de tributación, en el que se bajaron las tarifas de ese impuesto, con lo cual esperamos que muchas más empresas</w:t>
      </w:r>
      <w:r w:rsidRPr="00BF0F2A">
        <w:rPr>
          <w:rFonts w:ascii="Verdana" w:hAnsi="Verdana"/>
        </w:rPr>
        <w:t xml:space="preserve"> se formalicen en materia tributarla, que es muy </w:t>
      </w:r>
      <w:r w:rsidR="00BF0F2A">
        <w:rPr>
          <w:rFonts w:ascii="Verdana" w:hAnsi="Verdana"/>
        </w:rPr>
        <w:t>i</w:t>
      </w:r>
      <w:r w:rsidRPr="00BF0F2A">
        <w:rPr>
          <w:rFonts w:ascii="Verdana" w:hAnsi="Verdana"/>
        </w:rPr>
        <w:t>mportante para el sector empresarial y el desarrollo de la economía nacional”, indicó el Ministro.</w:t>
      </w:r>
    </w:p>
    <w:p w14:paraId="31C9BE2B" w14:textId="77777777" w:rsidR="00BF0F2A" w:rsidRDefault="00BF0F2A" w:rsidP="00BF0F2A">
      <w:pPr>
        <w:pStyle w:val="Sinespaciado"/>
        <w:jc w:val="both"/>
        <w:rPr>
          <w:rFonts w:ascii="Verdana" w:hAnsi="Verdana"/>
        </w:rPr>
      </w:pPr>
    </w:p>
    <w:p w14:paraId="1C0906DA" w14:textId="23914D31" w:rsidR="004D2742" w:rsidRPr="00BF0F2A" w:rsidRDefault="0062703E" w:rsidP="00BF0F2A">
      <w:pPr>
        <w:pStyle w:val="Sinespaciado"/>
        <w:jc w:val="both"/>
        <w:rPr>
          <w:rFonts w:ascii="Verdana" w:hAnsi="Verdana"/>
        </w:rPr>
      </w:pPr>
      <w:r w:rsidRPr="00BF0F2A">
        <w:rPr>
          <w:rFonts w:ascii="Verdana" w:hAnsi="Verdana"/>
        </w:rPr>
        <w:t xml:space="preserve">Esta Reforma Tributaria generará un recaudo, en 2023, de </w:t>
      </w:r>
      <w:r w:rsidRPr="00BF0F2A">
        <w:rPr>
          <w:rStyle w:val="Cuerpodeltexto2Espaciado-1pto"/>
          <w:rFonts w:ascii="Verdana" w:hAnsi="Verdana"/>
          <w:sz w:val="24"/>
          <w:szCs w:val="24"/>
        </w:rPr>
        <w:t>$11.3</w:t>
      </w:r>
      <w:r w:rsidRPr="00BF0F2A">
        <w:rPr>
          <w:rFonts w:ascii="Verdana" w:hAnsi="Verdana"/>
        </w:rPr>
        <w:t xml:space="preserve"> billones por concepto de impuestos al uso d</w:t>
      </w:r>
      <w:r w:rsidRPr="00BF0F2A">
        <w:rPr>
          <w:rFonts w:ascii="Verdana" w:hAnsi="Verdana"/>
        </w:rPr>
        <w:t>el subsuelo. Esta cifra disminuirá periódicamente así: $8.9 billones en 2024, unos $6.6 billones en 2025</w:t>
      </w:r>
      <w:r w:rsidR="00BF0F2A">
        <w:rPr>
          <w:rFonts w:ascii="Verdana" w:hAnsi="Verdana"/>
        </w:rPr>
        <w:t xml:space="preserve"> </w:t>
      </w:r>
      <w:r w:rsidRPr="00BF0F2A">
        <w:rPr>
          <w:rFonts w:ascii="Verdana" w:hAnsi="Verdana"/>
        </w:rPr>
        <w:t>y $6.1 billones en 2026.</w:t>
      </w:r>
    </w:p>
    <w:p w14:paraId="136E0CC2" w14:textId="77777777" w:rsidR="00BF0F2A" w:rsidRDefault="00BF0F2A" w:rsidP="00BF0F2A">
      <w:pPr>
        <w:pStyle w:val="Sinespaciado"/>
        <w:jc w:val="both"/>
        <w:rPr>
          <w:rFonts w:ascii="Verdana" w:hAnsi="Verdana"/>
        </w:rPr>
      </w:pPr>
    </w:p>
    <w:p w14:paraId="2158AB9E" w14:textId="184B14EA" w:rsidR="004D2742" w:rsidRPr="00BF0F2A" w:rsidRDefault="0062703E" w:rsidP="00BF0F2A">
      <w:pPr>
        <w:pStyle w:val="Sinespaciado"/>
        <w:jc w:val="both"/>
        <w:rPr>
          <w:rFonts w:ascii="Verdana" w:hAnsi="Verdana"/>
        </w:rPr>
      </w:pPr>
      <w:r w:rsidRPr="00BF0F2A">
        <w:rPr>
          <w:rFonts w:ascii="Verdana" w:hAnsi="Verdana"/>
        </w:rPr>
        <w:t xml:space="preserve">Así mismo, el recaudo proveniente de personas naturales en 2023 sumará $2.9 billones; en 2024 se proyectan $3.7 billones; en </w:t>
      </w:r>
      <w:r w:rsidRPr="00BF0F2A">
        <w:rPr>
          <w:rFonts w:ascii="Verdana" w:hAnsi="Verdana"/>
        </w:rPr>
        <w:t>2025, unos $3.9 billones y en 2026 alrededor de $4.2 billones.</w:t>
      </w:r>
    </w:p>
    <w:p w14:paraId="21AE5601" w14:textId="77777777" w:rsidR="00BF0F2A" w:rsidRDefault="00BF0F2A" w:rsidP="00BF0F2A">
      <w:pPr>
        <w:pStyle w:val="Sinespaciado"/>
        <w:jc w:val="both"/>
        <w:rPr>
          <w:rFonts w:ascii="Verdana" w:hAnsi="Verdana"/>
        </w:rPr>
      </w:pPr>
    </w:p>
    <w:p w14:paraId="61BC9EBE" w14:textId="7FEC2758" w:rsidR="004D2742" w:rsidRPr="00BF0F2A" w:rsidRDefault="0062703E" w:rsidP="00BF0F2A">
      <w:pPr>
        <w:pStyle w:val="Sinespaciado"/>
        <w:jc w:val="both"/>
        <w:rPr>
          <w:rFonts w:ascii="Verdana" w:hAnsi="Verdana"/>
        </w:rPr>
      </w:pPr>
      <w:r w:rsidRPr="00BF0F2A">
        <w:rPr>
          <w:rFonts w:ascii="Verdana" w:hAnsi="Verdana"/>
        </w:rPr>
        <w:t>En el siguiente cuadro se detalla cómo será la evolución del recaudo por cada concepto:</w:t>
      </w:r>
    </w:p>
    <w:p w14:paraId="29E8D3B5" w14:textId="77777777" w:rsidR="00BF0F2A" w:rsidRDefault="00BF0F2A" w:rsidP="00BF0F2A">
      <w:pPr>
        <w:pStyle w:val="Sinespaciado"/>
        <w:jc w:val="both"/>
        <w:rPr>
          <w:rStyle w:val="Cuerpodeltexto3115ptoNegrita"/>
          <w:rFonts w:ascii="Verdana" w:hAnsi="Verdana"/>
          <w:sz w:val="24"/>
          <w:szCs w:val="24"/>
        </w:rPr>
      </w:pPr>
    </w:p>
    <w:p w14:paraId="1C22D0C4" w14:textId="640E9940" w:rsidR="004D2742" w:rsidRDefault="0062703E" w:rsidP="00BF0F2A">
      <w:pPr>
        <w:pStyle w:val="Sinespaciado"/>
        <w:jc w:val="both"/>
        <w:rPr>
          <w:rStyle w:val="Cuerpodeltexto3115ptoNegrita"/>
          <w:rFonts w:ascii="Verdana" w:hAnsi="Verdana"/>
          <w:sz w:val="24"/>
          <w:szCs w:val="24"/>
        </w:rPr>
      </w:pPr>
      <w:r w:rsidRPr="00BF0F2A">
        <w:rPr>
          <w:rStyle w:val="Cuerpodeltexto3115ptoNegrita"/>
          <w:rFonts w:ascii="Verdana" w:hAnsi="Verdana"/>
          <w:sz w:val="24"/>
          <w:szCs w:val="24"/>
        </w:rPr>
        <w:t>Escenario actualizado primer debate</w:t>
      </w:r>
    </w:p>
    <w:p w14:paraId="1F1A0591" w14:textId="77777777" w:rsidR="00BF0F2A" w:rsidRPr="00BF0F2A" w:rsidRDefault="00BF0F2A" w:rsidP="00BF0F2A">
      <w:pPr>
        <w:pStyle w:val="Sinespaciado"/>
        <w:jc w:val="both"/>
        <w:rPr>
          <w:rFonts w:ascii="Verdana" w:hAnsi="Verdana"/>
        </w:rPr>
      </w:pPr>
    </w:p>
    <w:tbl>
      <w:tblPr>
        <w:tblOverlap w:val="neve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79"/>
        <w:gridCol w:w="1152"/>
        <w:gridCol w:w="1147"/>
        <w:gridCol w:w="1147"/>
        <w:gridCol w:w="1162"/>
      </w:tblGrid>
      <w:tr w:rsidR="00BF0F2A" w:rsidRPr="00BF0F2A" w14:paraId="2717171A" w14:textId="77777777" w:rsidTr="00BF0F2A">
        <w:trPr>
          <w:trHeight w:hRule="exact" w:val="288"/>
          <w:jc w:val="center"/>
        </w:trPr>
        <w:tc>
          <w:tcPr>
            <w:tcW w:w="5179" w:type="dxa"/>
            <w:shd w:val="clear" w:color="auto" w:fill="1F3864" w:themeFill="accent1" w:themeFillShade="80"/>
          </w:tcPr>
          <w:p w14:paraId="7EAFBEB3" w14:textId="77777777" w:rsidR="004D2742" w:rsidRPr="00BF0F2A" w:rsidRDefault="0062703E" w:rsidP="00BF0F2A">
            <w:pPr>
              <w:pStyle w:val="Sinespaciado"/>
              <w:rPr>
                <w:rFonts w:ascii="Verdana" w:hAnsi="Verdana"/>
                <w:color w:val="FFFFFF" w:themeColor="background1"/>
                <w:sz w:val="20"/>
                <w:szCs w:val="20"/>
              </w:rPr>
            </w:pPr>
            <w:r w:rsidRPr="00BF0F2A">
              <w:rPr>
                <w:rStyle w:val="Cuerpodeltexto2105ptoNegrita"/>
                <w:rFonts w:ascii="Verdana" w:eastAsia="Microsoft Sans Serif" w:hAnsi="Verdana" w:cs="Microsoft Sans Serif"/>
                <w:color w:val="FFFFFF" w:themeColor="background1"/>
                <w:sz w:val="20"/>
                <w:szCs w:val="20"/>
              </w:rPr>
              <w:t>$Miles de Millones</w:t>
            </w:r>
          </w:p>
        </w:tc>
        <w:tc>
          <w:tcPr>
            <w:tcW w:w="1152" w:type="dxa"/>
            <w:shd w:val="clear" w:color="auto" w:fill="1F3864" w:themeFill="accent1" w:themeFillShade="80"/>
          </w:tcPr>
          <w:p w14:paraId="3733CE84" w14:textId="77777777" w:rsidR="004D2742" w:rsidRPr="00BF0F2A" w:rsidRDefault="0062703E" w:rsidP="00BF0F2A">
            <w:pPr>
              <w:pStyle w:val="Sinespaciado"/>
              <w:rPr>
                <w:rFonts w:ascii="Verdana" w:hAnsi="Verdana"/>
                <w:color w:val="FFFFFF" w:themeColor="background1"/>
                <w:sz w:val="20"/>
                <w:szCs w:val="20"/>
              </w:rPr>
            </w:pPr>
            <w:r w:rsidRPr="00BF0F2A">
              <w:rPr>
                <w:rStyle w:val="Cuerpodeltexto2105ptoNegrita"/>
                <w:rFonts w:ascii="Verdana" w:eastAsia="Microsoft Sans Serif" w:hAnsi="Verdana" w:cs="Microsoft Sans Serif"/>
                <w:color w:val="FFFFFF" w:themeColor="background1"/>
                <w:sz w:val="20"/>
                <w:szCs w:val="20"/>
              </w:rPr>
              <w:t>2023</w:t>
            </w:r>
          </w:p>
        </w:tc>
        <w:tc>
          <w:tcPr>
            <w:tcW w:w="1147" w:type="dxa"/>
            <w:shd w:val="clear" w:color="auto" w:fill="1F3864" w:themeFill="accent1" w:themeFillShade="80"/>
          </w:tcPr>
          <w:p w14:paraId="59867099" w14:textId="77777777" w:rsidR="004D2742" w:rsidRPr="00BF0F2A" w:rsidRDefault="0062703E" w:rsidP="00BF0F2A">
            <w:pPr>
              <w:pStyle w:val="Sinespaciado"/>
              <w:rPr>
                <w:rFonts w:ascii="Verdana" w:hAnsi="Verdana"/>
                <w:color w:val="FFFFFF" w:themeColor="background1"/>
                <w:sz w:val="20"/>
                <w:szCs w:val="20"/>
              </w:rPr>
            </w:pPr>
            <w:r w:rsidRPr="00BF0F2A">
              <w:rPr>
                <w:rStyle w:val="Cuerpodeltexto2105ptoNegrita"/>
                <w:rFonts w:ascii="Verdana" w:eastAsia="Microsoft Sans Serif" w:hAnsi="Verdana" w:cs="Microsoft Sans Serif"/>
                <w:color w:val="FFFFFF" w:themeColor="background1"/>
                <w:sz w:val="20"/>
                <w:szCs w:val="20"/>
              </w:rPr>
              <w:t>2024</w:t>
            </w:r>
          </w:p>
        </w:tc>
        <w:tc>
          <w:tcPr>
            <w:tcW w:w="1147" w:type="dxa"/>
            <w:shd w:val="clear" w:color="auto" w:fill="1F3864" w:themeFill="accent1" w:themeFillShade="80"/>
          </w:tcPr>
          <w:p w14:paraId="159A84D6" w14:textId="77777777" w:rsidR="004D2742" w:rsidRPr="00BF0F2A" w:rsidRDefault="0062703E" w:rsidP="00BF0F2A">
            <w:pPr>
              <w:pStyle w:val="Sinespaciado"/>
              <w:rPr>
                <w:rFonts w:ascii="Verdana" w:hAnsi="Verdana"/>
                <w:color w:val="FFFFFF" w:themeColor="background1"/>
                <w:sz w:val="20"/>
                <w:szCs w:val="20"/>
              </w:rPr>
            </w:pPr>
            <w:r w:rsidRPr="00BF0F2A">
              <w:rPr>
                <w:rStyle w:val="Cuerpodeltexto2105ptoNegrita"/>
                <w:rFonts w:ascii="Verdana" w:eastAsia="Microsoft Sans Serif" w:hAnsi="Verdana" w:cs="Microsoft Sans Serif"/>
                <w:color w:val="FFFFFF" w:themeColor="background1"/>
                <w:sz w:val="20"/>
                <w:szCs w:val="20"/>
              </w:rPr>
              <w:t>2025</w:t>
            </w:r>
          </w:p>
        </w:tc>
        <w:tc>
          <w:tcPr>
            <w:tcW w:w="1162" w:type="dxa"/>
            <w:shd w:val="clear" w:color="auto" w:fill="1F3864" w:themeFill="accent1" w:themeFillShade="80"/>
          </w:tcPr>
          <w:p w14:paraId="63E6C4C1" w14:textId="77777777" w:rsidR="004D2742" w:rsidRPr="00BF0F2A" w:rsidRDefault="0062703E" w:rsidP="00BF0F2A">
            <w:pPr>
              <w:pStyle w:val="Sinespaciado"/>
              <w:rPr>
                <w:rFonts w:ascii="Verdana" w:hAnsi="Verdana"/>
                <w:color w:val="FFFFFF" w:themeColor="background1"/>
                <w:sz w:val="20"/>
                <w:szCs w:val="20"/>
              </w:rPr>
            </w:pPr>
            <w:r w:rsidRPr="00BF0F2A">
              <w:rPr>
                <w:rStyle w:val="Cuerpodeltexto2105ptoNegrita"/>
                <w:rFonts w:ascii="Verdana" w:eastAsia="Microsoft Sans Serif" w:hAnsi="Verdana" w:cs="Microsoft Sans Serif"/>
                <w:color w:val="FFFFFF" w:themeColor="background1"/>
                <w:sz w:val="20"/>
                <w:szCs w:val="20"/>
              </w:rPr>
              <w:t>2026</w:t>
            </w:r>
          </w:p>
        </w:tc>
      </w:tr>
      <w:tr w:rsidR="00BF0F2A" w:rsidRPr="00BF0F2A" w14:paraId="203193A3" w14:textId="77777777" w:rsidTr="00BF0F2A">
        <w:trPr>
          <w:trHeight w:hRule="exact" w:val="298"/>
          <w:jc w:val="center"/>
        </w:trPr>
        <w:tc>
          <w:tcPr>
            <w:tcW w:w="5179" w:type="dxa"/>
            <w:shd w:val="clear" w:color="auto" w:fill="8EAADB" w:themeFill="accent1" w:themeFillTint="99"/>
          </w:tcPr>
          <w:p w14:paraId="42C99D61" w14:textId="77777777" w:rsidR="004D2742" w:rsidRPr="00BF0F2A" w:rsidRDefault="0062703E" w:rsidP="00BF0F2A">
            <w:pPr>
              <w:pStyle w:val="Sinespaciado"/>
              <w:rPr>
                <w:rFonts w:ascii="Verdana" w:hAnsi="Verdana"/>
                <w:color w:val="auto"/>
                <w:sz w:val="20"/>
                <w:szCs w:val="20"/>
              </w:rPr>
            </w:pPr>
            <w:r w:rsidRPr="00BF0F2A">
              <w:rPr>
                <w:rStyle w:val="Cuerpodeltexto2105ptoNegritaCursiva"/>
                <w:rFonts w:ascii="Verdana" w:eastAsia="Microsoft Sans Serif" w:hAnsi="Verdana" w:cs="Microsoft Sans Serif"/>
                <w:color w:val="auto"/>
                <w:sz w:val="20"/>
                <w:szCs w:val="20"/>
              </w:rPr>
              <w:t>Personas Naturales</w:t>
            </w:r>
          </w:p>
        </w:tc>
        <w:tc>
          <w:tcPr>
            <w:tcW w:w="1152" w:type="dxa"/>
            <w:shd w:val="clear" w:color="auto" w:fill="8EAADB" w:themeFill="accent1" w:themeFillTint="99"/>
          </w:tcPr>
          <w:p w14:paraId="4BA77046" w14:textId="77777777" w:rsidR="004D2742" w:rsidRPr="00BF0F2A" w:rsidRDefault="0062703E" w:rsidP="00BF0F2A">
            <w:pPr>
              <w:pStyle w:val="Sinespaciado"/>
              <w:rPr>
                <w:rFonts w:ascii="Verdana" w:hAnsi="Verdana"/>
                <w:color w:val="auto"/>
                <w:sz w:val="20"/>
                <w:szCs w:val="20"/>
              </w:rPr>
            </w:pPr>
            <w:r w:rsidRPr="00BF0F2A">
              <w:rPr>
                <w:rStyle w:val="Cuerpodeltexto2105ptoNegritaCursiva"/>
                <w:rFonts w:ascii="Verdana" w:eastAsia="Microsoft Sans Serif" w:hAnsi="Verdana" w:cs="Microsoft Sans Serif"/>
                <w:color w:val="auto"/>
                <w:sz w:val="20"/>
                <w:szCs w:val="20"/>
              </w:rPr>
              <w:t>2.859</w:t>
            </w:r>
          </w:p>
        </w:tc>
        <w:tc>
          <w:tcPr>
            <w:tcW w:w="1147" w:type="dxa"/>
            <w:shd w:val="clear" w:color="auto" w:fill="8EAADB" w:themeFill="accent1" w:themeFillTint="99"/>
          </w:tcPr>
          <w:p w14:paraId="718B05B1" w14:textId="77777777" w:rsidR="004D2742" w:rsidRPr="00BF0F2A" w:rsidRDefault="0062703E" w:rsidP="00BF0F2A">
            <w:pPr>
              <w:pStyle w:val="Sinespaciado"/>
              <w:rPr>
                <w:rFonts w:ascii="Verdana" w:hAnsi="Verdana"/>
                <w:color w:val="auto"/>
                <w:sz w:val="20"/>
                <w:szCs w:val="20"/>
              </w:rPr>
            </w:pPr>
            <w:r w:rsidRPr="00BF0F2A">
              <w:rPr>
                <w:rStyle w:val="Cuerpodeltexto2105ptoNegritaCursiva"/>
                <w:rFonts w:ascii="Verdana" w:eastAsia="Microsoft Sans Serif" w:hAnsi="Verdana" w:cs="Microsoft Sans Serif"/>
                <w:color w:val="auto"/>
                <w:sz w:val="20"/>
                <w:szCs w:val="20"/>
              </w:rPr>
              <w:t>3.679</w:t>
            </w:r>
          </w:p>
        </w:tc>
        <w:tc>
          <w:tcPr>
            <w:tcW w:w="1147" w:type="dxa"/>
            <w:shd w:val="clear" w:color="auto" w:fill="8EAADB" w:themeFill="accent1" w:themeFillTint="99"/>
          </w:tcPr>
          <w:p w14:paraId="7D665673" w14:textId="77777777" w:rsidR="004D2742" w:rsidRPr="00BF0F2A" w:rsidRDefault="0062703E" w:rsidP="00BF0F2A">
            <w:pPr>
              <w:pStyle w:val="Sinespaciado"/>
              <w:rPr>
                <w:rFonts w:ascii="Verdana" w:hAnsi="Verdana"/>
                <w:color w:val="auto"/>
                <w:sz w:val="20"/>
                <w:szCs w:val="20"/>
              </w:rPr>
            </w:pPr>
            <w:r w:rsidRPr="00BF0F2A">
              <w:rPr>
                <w:rStyle w:val="Cuerpodeltexto2105ptoNegritaCursiva"/>
                <w:rFonts w:ascii="Verdana" w:eastAsia="Microsoft Sans Serif" w:hAnsi="Verdana" w:cs="Microsoft Sans Serif"/>
                <w:color w:val="auto"/>
                <w:sz w:val="20"/>
                <w:szCs w:val="20"/>
              </w:rPr>
              <w:t>3.912</w:t>
            </w:r>
          </w:p>
        </w:tc>
        <w:tc>
          <w:tcPr>
            <w:tcW w:w="1162" w:type="dxa"/>
            <w:shd w:val="clear" w:color="auto" w:fill="8EAADB" w:themeFill="accent1" w:themeFillTint="99"/>
          </w:tcPr>
          <w:p w14:paraId="5A0F836B" w14:textId="77777777" w:rsidR="004D2742" w:rsidRPr="00BF0F2A" w:rsidRDefault="0062703E" w:rsidP="00BF0F2A">
            <w:pPr>
              <w:pStyle w:val="Sinespaciado"/>
              <w:rPr>
                <w:rFonts w:ascii="Verdana" w:hAnsi="Verdana"/>
                <w:color w:val="auto"/>
                <w:sz w:val="20"/>
                <w:szCs w:val="20"/>
              </w:rPr>
            </w:pPr>
            <w:r w:rsidRPr="00BF0F2A">
              <w:rPr>
                <w:rStyle w:val="Cuerpodeltexto2105ptoNegritaCursiva"/>
                <w:rFonts w:ascii="Verdana" w:eastAsia="Microsoft Sans Serif" w:hAnsi="Verdana" w:cs="Microsoft Sans Serif"/>
                <w:color w:val="auto"/>
                <w:sz w:val="20"/>
                <w:szCs w:val="20"/>
              </w:rPr>
              <w:t>4.160</w:t>
            </w:r>
          </w:p>
        </w:tc>
      </w:tr>
      <w:tr w:rsidR="00BF0F2A" w:rsidRPr="00BF0F2A" w14:paraId="21286056" w14:textId="77777777" w:rsidTr="00BF0F2A">
        <w:trPr>
          <w:trHeight w:hRule="exact" w:val="283"/>
          <w:jc w:val="center"/>
        </w:trPr>
        <w:tc>
          <w:tcPr>
            <w:tcW w:w="5179" w:type="dxa"/>
            <w:shd w:val="clear" w:color="auto" w:fill="D9E2F3" w:themeFill="accent1" w:themeFillTint="33"/>
          </w:tcPr>
          <w:p w14:paraId="28F9A00B" w14:textId="77777777" w:rsidR="004D2742" w:rsidRPr="00BF0F2A" w:rsidRDefault="0062703E" w:rsidP="00BF0F2A">
            <w:pPr>
              <w:pStyle w:val="Sinespaciado"/>
              <w:rPr>
                <w:rFonts w:ascii="Verdana" w:hAnsi="Verdana"/>
                <w:color w:val="auto"/>
                <w:sz w:val="20"/>
                <w:szCs w:val="20"/>
              </w:rPr>
            </w:pPr>
            <w:r w:rsidRPr="00BF0F2A">
              <w:rPr>
                <w:rStyle w:val="Cuerpodeltexto2Arial105pto"/>
                <w:rFonts w:ascii="Verdana" w:eastAsia="Microsoft Sans Serif" w:hAnsi="Verdana" w:cs="Microsoft Sans Serif"/>
                <w:color w:val="auto"/>
                <w:sz w:val="20"/>
                <w:szCs w:val="20"/>
              </w:rPr>
              <w:t>IRPN</w:t>
            </w:r>
          </w:p>
        </w:tc>
        <w:tc>
          <w:tcPr>
            <w:tcW w:w="1152" w:type="dxa"/>
            <w:shd w:val="clear" w:color="auto" w:fill="D9E2F3" w:themeFill="accent1" w:themeFillTint="33"/>
          </w:tcPr>
          <w:p w14:paraId="0B7D98F2" w14:textId="77777777" w:rsidR="004D2742" w:rsidRPr="00BF0F2A" w:rsidRDefault="0062703E" w:rsidP="00BF0F2A">
            <w:pPr>
              <w:pStyle w:val="Sinespaciado"/>
              <w:rPr>
                <w:rFonts w:ascii="Verdana" w:hAnsi="Verdana"/>
                <w:color w:val="auto"/>
                <w:sz w:val="20"/>
                <w:szCs w:val="20"/>
              </w:rPr>
            </w:pPr>
            <w:r w:rsidRPr="00BF0F2A">
              <w:rPr>
                <w:rStyle w:val="Cuerpodeltexto2105ptoCursiva"/>
                <w:rFonts w:ascii="Verdana" w:eastAsia="Microsoft Sans Serif" w:hAnsi="Verdana" w:cs="Microsoft Sans Serif"/>
                <w:color w:val="auto"/>
                <w:sz w:val="20"/>
                <w:szCs w:val="20"/>
              </w:rPr>
              <w:t>1.890</w:t>
            </w:r>
          </w:p>
        </w:tc>
        <w:tc>
          <w:tcPr>
            <w:tcW w:w="1147" w:type="dxa"/>
            <w:shd w:val="clear" w:color="auto" w:fill="D9E2F3" w:themeFill="accent1" w:themeFillTint="33"/>
          </w:tcPr>
          <w:p w14:paraId="6C61324F" w14:textId="77777777" w:rsidR="004D2742" w:rsidRPr="00BF0F2A" w:rsidRDefault="0062703E" w:rsidP="00BF0F2A">
            <w:pPr>
              <w:pStyle w:val="Sinespaciado"/>
              <w:rPr>
                <w:rFonts w:ascii="Verdana" w:hAnsi="Verdana"/>
                <w:color w:val="auto"/>
                <w:sz w:val="20"/>
                <w:szCs w:val="20"/>
              </w:rPr>
            </w:pPr>
            <w:r w:rsidRPr="00BF0F2A">
              <w:rPr>
                <w:rStyle w:val="Cuerpodeltexto2105ptoCursiva"/>
                <w:rFonts w:ascii="Verdana" w:eastAsia="Microsoft Sans Serif" w:hAnsi="Verdana" w:cs="Microsoft Sans Serif"/>
                <w:color w:val="auto"/>
                <w:sz w:val="20"/>
                <w:szCs w:val="20"/>
              </w:rPr>
              <w:t>2.645</w:t>
            </w:r>
          </w:p>
        </w:tc>
        <w:tc>
          <w:tcPr>
            <w:tcW w:w="1147" w:type="dxa"/>
            <w:shd w:val="clear" w:color="auto" w:fill="D9E2F3" w:themeFill="accent1" w:themeFillTint="33"/>
          </w:tcPr>
          <w:p w14:paraId="67D3FBF4" w14:textId="77777777" w:rsidR="004D2742" w:rsidRPr="00BF0F2A" w:rsidRDefault="0062703E" w:rsidP="00BF0F2A">
            <w:pPr>
              <w:pStyle w:val="Sinespaciado"/>
              <w:rPr>
                <w:rFonts w:ascii="Verdana" w:hAnsi="Verdana"/>
                <w:color w:val="auto"/>
                <w:sz w:val="20"/>
                <w:szCs w:val="20"/>
              </w:rPr>
            </w:pPr>
            <w:r w:rsidRPr="00BF0F2A">
              <w:rPr>
                <w:rStyle w:val="Cuerpodeltexto2105ptoCursiva"/>
                <w:rFonts w:ascii="Verdana" w:eastAsia="Microsoft Sans Serif" w:hAnsi="Verdana" w:cs="Microsoft Sans Serif"/>
                <w:color w:val="auto"/>
                <w:sz w:val="20"/>
                <w:szCs w:val="20"/>
              </w:rPr>
              <w:t>2.812</w:t>
            </w:r>
          </w:p>
        </w:tc>
        <w:tc>
          <w:tcPr>
            <w:tcW w:w="1162" w:type="dxa"/>
            <w:shd w:val="clear" w:color="auto" w:fill="D9E2F3" w:themeFill="accent1" w:themeFillTint="33"/>
          </w:tcPr>
          <w:p w14:paraId="4A75B833" w14:textId="77777777" w:rsidR="004D2742" w:rsidRPr="00BF0F2A" w:rsidRDefault="0062703E" w:rsidP="00BF0F2A">
            <w:pPr>
              <w:pStyle w:val="Sinespaciado"/>
              <w:rPr>
                <w:rFonts w:ascii="Verdana" w:hAnsi="Verdana"/>
                <w:color w:val="auto"/>
                <w:sz w:val="20"/>
                <w:szCs w:val="20"/>
              </w:rPr>
            </w:pPr>
            <w:r w:rsidRPr="00BF0F2A">
              <w:rPr>
                <w:rStyle w:val="Cuerpodeltexto2105ptoCursiva"/>
                <w:rFonts w:ascii="Verdana" w:eastAsia="Microsoft Sans Serif" w:hAnsi="Verdana" w:cs="Microsoft Sans Serif"/>
                <w:color w:val="auto"/>
                <w:sz w:val="20"/>
                <w:szCs w:val="20"/>
              </w:rPr>
              <w:t>2.990</w:t>
            </w:r>
          </w:p>
        </w:tc>
      </w:tr>
      <w:tr w:rsidR="00BF0F2A" w:rsidRPr="00BF0F2A" w14:paraId="678DABF7" w14:textId="77777777" w:rsidTr="00BF0F2A">
        <w:trPr>
          <w:trHeight w:hRule="exact" w:val="288"/>
          <w:jc w:val="center"/>
        </w:trPr>
        <w:tc>
          <w:tcPr>
            <w:tcW w:w="5179" w:type="dxa"/>
            <w:shd w:val="clear" w:color="auto" w:fill="D9E2F3" w:themeFill="accent1" w:themeFillTint="33"/>
          </w:tcPr>
          <w:p w14:paraId="2504749F" w14:textId="77777777" w:rsidR="004D2742" w:rsidRPr="00BF0F2A" w:rsidRDefault="0062703E" w:rsidP="00BF0F2A">
            <w:pPr>
              <w:pStyle w:val="Sinespaciado"/>
              <w:rPr>
                <w:rFonts w:ascii="Verdana" w:hAnsi="Verdana"/>
                <w:color w:val="auto"/>
                <w:sz w:val="20"/>
                <w:szCs w:val="20"/>
              </w:rPr>
            </w:pPr>
            <w:r w:rsidRPr="00BF0F2A">
              <w:rPr>
                <w:rStyle w:val="Cuerpodeltexto2Arial105pto"/>
                <w:rFonts w:ascii="Verdana" w:eastAsia="Microsoft Sans Serif" w:hAnsi="Verdana" w:cs="Microsoft Sans Serif"/>
                <w:color w:val="auto"/>
                <w:sz w:val="20"/>
                <w:szCs w:val="20"/>
              </w:rPr>
              <w:t>Patrimonio</w:t>
            </w:r>
          </w:p>
        </w:tc>
        <w:tc>
          <w:tcPr>
            <w:tcW w:w="1152" w:type="dxa"/>
            <w:shd w:val="clear" w:color="auto" w:fill="D9E2F3" w:themeFill="accent1" w:themeFillTint="33"/>
          </w:tcPr>
          <w:p w14:paraId="36FAC623" w14:textId="77777777" w:rsidR="004D2742" w:rsidRPr="00BF0F2A" w:rsidRDefault="0062703E" w:rsidP="00BF0F2A">
            <w:pPr>
              <w:pStyle w:val="Sinespaciado"/>
              <w:rPr>
                <w:rFonts w:ascii="Verdana" w:hAnsi="Verdana"/>
                <w:color w:val="auto"/>
                <w:sz w:val="20"/>
                <w:szCs w:val="20"/>
              </w:rPr>
            </w:pPr>
            <w:r w:rsidRPr="00BF0F2A">
              <w:rPr>
                <w:rStyle w:val="Cuerpodeltexto2105ptoCursiva"/>
                <w:rFonts w:ascii="Verdana" w:eastAsia="Microsoft Sans Serif" w:hAnsi="Verdana" w:cs="Microsoft Sans Serif"/>
                <w:color w:val="auto"/>
                <w:sz w:val="20"/>
                <w:szCs w:val="20"/>
              </w:rPr>
              <w:t>970</w:t>
            </w:r>
          </w:p>
        </w:tc>
        <w:tc>
          <w:tcPr>
            <w:tcW w:w="1147" w:type="dxa"/>
            <w:shd w:val="clear" w:color="auto" w:fill="D9E2F3" w:themeFill="accent1" w:themeFillTint="33"/>
          </w:tcPr>
          <w:p w14:paraId="4D900667" w14:textId="77777777" w:rsidR="004D2742" w:rsidRPr="00BF0F2A" w:rsidRDefault="0062703E" w:rsidP="00BF0F2A">
            <w:pPr>
              <w:pStyle w:val="Sinespaciado"/>
              <w:rPr>
                <w:rFonts w:ascii="Verdana" w:hAnsi="Verdana"/>
                <w:color w:val="auto"/>
                <w:sz w:val="20"/>
                <w:szCs w:val="20"/>
              </w:rPr>
            </w:pPr>
            <w:r w:rsidRPr="00BF0F2A">
              <w:rPr>
                <w:rStyle w:val="Cuerpodeltexto2105ptoCursiva"/>
                <w:rFonts w:ascii="Verdana" w:eastAsia="Microsoft Sans Serif" w:hAnsi="Verdana" w:cs="Microsoft Sans Serif"/>
                <w:color w:val="auto"/>
                <w:sz w:val="20"/>
                <w:szCs w:val="20"/>
              </w:rPr>
              <w:t>1.035</w:t>
            </w:r>
          </w:p>
        </w:tc>
        <w:tc>
          <w:tcPr>
            <w:tcW w:w="1147" w:type="dxa"/>
            <w:shd w:val="clear" w:color="auto" w:fill="D9E2F3" w:themeFill="accent1" w:themeFillTint="33"/>
          </w:tcPr>
          <w:p w14:paraId="29528785" w14:textId="77777777" w:rsidR="004D2742" w:rsidRPr="00BF0F2A" w:rsidRDefault="0062703E" w:rsidP="00BF0F2A">
            <w:pPr>
              <w:pStyle w:val="Sinespaciado"/>
              <w:rPr>
                <w:rFonts w:ascii="Verdana" w:hAnsi="Verdana"/>
                <w:color w:val="auto"/>
                <w:sz w:val="20"/>
                <w:szCs w:val="20"/>
              </w:rPr>
            </w:pPr>
            <w:r w:rsidRPr="00BF0F2A">
              <w:rPr>
                <w:rStyle w:val="Cuerpodeltexto2105ptoCursiva"/>
                <w:rFonts w:ascii="Verdana" w:eastAsia="Microsoft Sans Serif" w:hAnsi="Verdana" w:cs="Microsoft Sans Serif"/>
                <w:color w:val="auto"/>
                <w:sz w:val="20"/>
                <w:szCs w:val="20"/>
              </w:rPr>
              <w:t>1.100</w:t>
            </w:r>
          </w:p>
        </w:tc>
        <w:tc>
          <w:tcPr>
            <w:tcW w:w="1162" w:type="dxa"/>
            <w:shd w:val="clear" w:color="auto" w:fill="D9E2F3" w:themeFill="accent1" w:themeFillTint="33"/>
          </w:tcPr>
          <w:p w14:paraId="5E25B495" w14:textId="77777777" w:rsidR="004D2742" w:rsidRPr="00BF0F2A" w:rsidRDefault="0062703E" w:rsidP="00BF0F2A">
            <w:pPr>
              <w:pStyle w:val="Sinespaciado"/>
              <w:rPr>
                <w:rFonts w:ascii="Verdana" w:hAnsi="Verdana"/>
                <w:color w:val="auto"/>
                <w:sz w:val="20"/>
                <w:szCs w:val="20"/>
              </w:rPr>
            </w:pPr>
            <w:r w:rsidRPr="00BF0F2A">
              <w:rPr>
                <w:rStyle w:val="Cuerpodeltexto2105ptoCursiva"/>
                <w:rFonts w:ascii="Verdana" w:eastAsia="Microsoft Sans Serif" w:hAnsi="Verdana" w:cs="Microsoft Sans Serif"/>
                <w:color w:val="auto"/>
                <w:sz w:val="20"/>
                <w:szCs w:val="20"/>
              </w:rPr>
              <w:t>1.170</w:t>
            </w:r>
          </w:p>
        </w:tc>
      </w:tr>
      <w:tr w:rsidR="00BF0F2A" w:rsidRPr="00BF0F2A" w14:paraId="1A383F10" w14:textId="77777777" w:rsidTr="00BF0F2A">
        <w:trPr>
          <w:trHeight w:hRule="exact" w:val="283"/>
          <w:jc w:val="center"/>
        </w:trPr>
        <w:tc>
          <w:tcPr>
            <w:tcW w:w="5179" w:type="dxa"/>
            <w:shd w:val="clear" w:color="auto" w:fill="8EAADB" w:themeFill="accent1" w:themeFillTint="99"/>
          </w:tcPr>
          <w:p w14:paraId="410B1BE4" w14:textId="77777777" w:rsidR="004D2742" w:rsidRPr="00BF0F2A" w:rsidRDefault="0062703E" w:rsidP="00BF0F2A">
            <w:pPr>
              <w:pStyle w:val="Sinespaciado"/>
              <w:rPr>
                <w:rFonts w:ascii="Verdana" w:hAnsi="Verdana"/>
                <w:color w:val="auto"/>
                <w:sz w:val="20"/>
                <w:szCs w:val="20"/>
              </w:rPr>
            </w:pPr>
            <w:r w:rsidRPr="00BF0F2A">
              <w:rPr>
                <w:rStyle w:val="Cuerpodeltexto2105ptoNegritaCursiva"/>
                <w:rFonts w:ascii="Verdana" w:eastAsia="Microsoft Sans Serif" w:hAnsi="Verdana" w:cs="Microsoft Sans Serif"/>
                <w:color w:val="auto"/>
                <w:sz w:val="20"/>
                <w:szCs w:val="20"/>
              </w:rPr>
              <w:t>Personas Jurídicas</w:t>
            </w:r>
          </w:p>
        </w:tc>
        <w:tc>
          <w:tcPr>
            <w:tcW w:w="1152" w:type="dxa"/>
            <w:shd w:val="clear" w:color="auto" w:fill="8EAADB" w:themeFill="accent1" w:themeFillTint="99"/>
          </w:tcPr>
          <w:p w14:paraId="6239C8A7" w14:textId="77777777" w:rsidR="004D2742" w:rsidRPr="00BF0F2A" w:rsidRDefault="0062703E" w:rsidP="00BF0F2A">
            <w:pPr>
              <w:pStyle w:val="Sinespaciado"/>
              <w:rPr>
                <w:rFonts w:ascii="Verdana" w:hAnsi="Verdana"/>
                <w:color w:val="auto"/>
                <w:sz w:val="20"/>
                <w:szCs w:val="20"/>
              </w:rPr>
            </w:pPr>
            <w:r w:rsidRPr="00BF0F2A">
              <w:rPr>
                <w:rStyle w:val="Cuerpodeltexto2105ptoNegritaCursiva"/>
                <w:rFonts w:ascii="Verdana" w:eastAsia="Microsoft Sans Serif" w:hAnsi="Verdana" w:cs="Microsoft Sans Serif"/>
                <w:color w:val="auto"/>
                <w:sz w:val="20"/>
                <w:szCs w:val="20"/>
              </w:rPr>
              <w:t>3.001</w:t>
            </w:r>
          </w:p>
        </w:tc>
        <w:tc>
          <w:tcPr>
            <w:tcW w:w="1147" w:type="dxa"/>
            <w:shd w:val="clear" w:color="auto" w:fill="8EAADB" w:themeFill="accent1" w:themeFillTint="99"/>
          </w:tcPr>
          <w:p w14:paraId="5DD38BCD" w14:textId="77777777" w:rsidR="004D2742" w:rsidRPr="00BF0F2A" w:rsidRDefault="0062703E" w:rsidP="00BF0F2A">
            <w:pPr>
              <w:pStyle w:val="Sinespaciado"/>
              <w:rPr>
                <w:rFonts w:ascii="Verdana" w:hAnsi="Verdana"/>
                <w:color w:val="auto"/>
                <w:sz w:val="20"/>
                <w:szCs w:val="20"/>
              </w:rPr>
            </w:pPr>
            <w:r w:rsidRPr="00BF0F2A">
              <w:rPr>
                <w:rStyle w:val="Cuerpodeltexto2105ptoNegritaCursiva"/>
                <w:rFonts w:ascii="Verdana" w:eastAsia="Microsoft Sans Serif" w:hAnsi="Verdana" w:cs="Microsoft Sans Serif"/>
                <w:color w:val="auto"/>
                <w:sz w:val="20"/>
                <w:szCs w:val="20"/>
              </w:rPr>
              <w:t>3.968</w:t>
            </w:r>
          </w:p>
        </w:tc>
        <w:tc>
          <w:tcPr>
            <w:tcW w:w="1147" w:type="dxa"/>
            <w:shd w:val="clear" w:color="auto" w:fill="8EAADB" w:themeFill="accent1" w:themeFillTint="99"/>
          </w:tcPr>
          <w:p w14:paraId="17A72F36" w14:textId="77777777" w:rsidR="004D2742" w:rsidRPr="00BF0F2A" w:rsidRDefault="0062703E" w:rsidP="00BF0F2A">
            <w:pPr>
              <w:pStyle w:val="Sinespaciado"/>
              <w:rPr>
                <w:rFonts w:ascii="Verdana" w:hAnsi="Verdana"/>
                <w:color w:val="auto"/>
                <w:sz w:val="20"/>
                <w:szCs w:val="20"/>
              </w:rPr>
            </w:pPr>
            <w:r w:rsidRPr="00BF0F2A">
              <w:rPr>
                <w:rStyle w:val="Cuerpodeltexto2105ptoNegritaCursiva"/>
                <w:rFonts w:ascii="Verdana" w:eastAsia="Microsoft Sans Serif" w:hAnsi="Verdana" w:cs="Microsoft Sans Serif"/>
                <w:color w:val="auto"/>
                <w:sz w:val="20"/>
                <w:szCs w:val="20"/>
              </w:rPr>
              <w:t>4.254</w:t>
            </w:r>
          </w:p>
        </w:tc>
        <w:tc>
          <w:tcPr>
            <w:tcW w:w="1162" w:type="dxa"/>
            <w:shd w:val="clear" w:color="auto" w:fill="8EAADB" w:themeFill="accent1" w:themeFillTint="99"/>
          </w:tcPr>
          <w:p w14:paraId="03CAE823" w14:textId="77777777" w:rsidR="004D2742" w:rsidRPr="00BF0F2A" w:rsidRDefault="0062703E" w:rsidP="00BF0F2A">
            <w:pPr>
              <w:pStyle w:val="Sinespaciado"/>
              <w:rPr>
                <w:rFonts w:ascii="Verdana" w:hAnsi="Verdana"/>
                <w:color w:val="auto"/>
                <w:sz w:val="20"/>
                <w:szCs w:val="20"/>
              </w:rPr>
            </w:pPr>
            <w:r w:rsidRPr="00BF0F2A">
              <w:rPr>
                <w:rStyle w:val="Cuerpodeltexto2105ptoNegritaCursiva"/>
                <w:rFonts w:ascii="Verdana" w:eastAsia="Microsoft Sans Serif" w:hAnsi="Verdana" w:cs="Microsoft Sans Serif"/>
                <w:color w:val="auto"/>
                <w:sz w:val="20"/>
                <w:szCs w:val="20"/>
              </w:rPr>
              <w:t>5.181</w:t>
            </w:r>
          </w:p>
        </w:tc>
      </w:tr>
      <w:tr w:rsidR="00BF0F2A" w:rsidRPr="00BF0F2A" w14:paraId="78EAF179" w14:textId="77777777" w:rsidTr="00BF0F2A">
        <w:trPr>
          <w:trHeight w:hRule="exact" w:val="283"/>
          <w:jc w:val="center"/>
        </w:trPr>
        <w:tc>
          <w:tcPr>
            <w:tcW w:w="5179" w:type="dxa"/>
            <w:shd w:val="clear" w:color="auto" w:fill="8EAADB" w:themeFill="accent1" w:themeFillTint="99"/>
          </w:tcPr>
          <w:p w14:paraId="7AD81310" w14:textId="77777777" w:rsidR="004D2742" w:rsidRPr="00BF0F2A" w:rsidRDefault="0062703E" w:rsidP="00BF0F2A">
            <w:pPr>
              <w:pStyle w:val="Sinespaciado"/>
              <w:rPr>
                <w:rFonts w:ascii="Verdana" w:hAnsi="Verdana"/>
                <w:color w:val="auto"/>
                <w:sz w:val="20"/>
                <w:szCs w:val="20"/>
              </w:rPr>
            </w:pPr>
            <w:r w:rsidRPr="00BF0F2A">
              <w:rPr>
                <w:rStyle w:val="Cuerpodeltexto2105ptoNegritaCursiva"/>
                <w:rFonts w:ascii="Verdana" w:eastAsia="Microsoft Sans Serif" w:hAnsi="Verdana" w:cs="Microsoft Sans Serif"/>
                <w:color w:val="auto"/>
                <w:sz w:val="20"/>
                <w:szCs w:val="20"/>
              </w:rPr>
              <w:t>Impuestos uso del subsuelo</w:t>
            </w:r>
          </w:p>
        </w:tc>
        <w:tc>
          <w:tcPr>
            <w:tcW w:w="1152" w:type="dxa"/>
            <w:shd w:val="clear" w:color="auto" w:fill="8EAADB" w:themeFill="accent1" w:themeFillTint="99"/>
          </w:tcPr>
          <w:p w14:paraId="4E604D3D" w14:textId="77777777" w:rsidR="004D2742" w:rsidRPr="00BF0F2A" w:rsidRDefault="0062703E" w:rsidP="00BF0F2A">
            <w:pPr>
              <w:pStyle w:val="Sinespaciado"/>
              <w:rPr>
                <w:rFonts w:ascii="Verdana" w:hAnsi="Verdana"/>
                <w:color w:val="auto"/>
                <w:sz w:val="20"/>
                <w:szCs w:val="20"/>
              </w:rPr>
            </w:pPr>
            <w:r w:rsidRPr="00BF0F2A">
              <w:rPr>
                <w:rStyle w:val="Cuerpodeltexto2105ptoNegritaCursiva"/>
                <w:rFonts w:ascii="Verdana" w:eastAsia="Microsoft Sans Serif" w:hAnsi="Verdana" w:cs="Microsoft Sans Serif"/>
                <w:color w:val="auto"/>
                <w:sz w:val="20"/>
                <w:szCs w:val="20"/>
              </w:rPr>
              <w:t>11.260</w:t>
            </w:r>
          </w:p>
        </w:tc>
        <w:tc>
          <w:tcPr>
            <w:tcW w:w="1147" w:type="dxa"/>
            <w:shd w:val="clear" w:color="auto" w:fill="8EAADB" w:themeFill="accent1" w:themeFillTint="99"/>
          </w:tcPr>
          <w:p w14:paraId="5F8003E3" w14:textId="77777777" w:rsidR="004D2742" w:rsidRPr="00BF0F2A" w:rsidRDefault="0062703E" w:rsidP="00BF0F2A">
            <w:pPr>
              <w:pStyle w:val="Sinespaciado"/>
              <w:rPr>
                <w:rFonts w:ascii="Verdana" w:hAnsi="Verdana"/>
                <w:color w:val="auto"/>
                <w:sz w:val="20"/>
                <w:szCs w:val="20"/>
              </w:rPr>
            </w:pPr>
            <w:r w:rsidRPr="00BF0F2A">
              <w:rPr>
                <w:rStyle w:val="Cuerpodeltexto2105ptoNegritaCursiva"/>
                <w:rFonts w:ascii="Verdana" w:eastAsia="Microsoft Sans Serif" w:hAnsi="Verdana" w:cs="Microsoft Sans Serif"/>
                <w:color w:val="auto"/>
                <w:sz w:val="20"/>
                <w:szCs w:val="20"/>
              </w:rPr>
              <w:t>8.901</w:t>
            </w:r>
          </w:p>
        </w:tc>
        <w:tc>
          <w:tcPr>
            <w:tcW w:w="1147" w:type="dxa"/>
            <w:shd w:val="clear" w:color="auto" w:fill="8EAADB" w:themeFill="accent1" w:themeFillTint="99"/>
          </w:tcPr>
          <w:p w14:paraId="4D21F66D" w14:textId="77777777" w:rsidR="004D2742" w:rsidRPr="00BF0F2A" w:rsidRDefault="0062703E" w:rsidP="00BF0F2A">
            <w:pPr>
              <w:pStyle w:val="Sinespaciado"/>
              <w:rPr>
                <w:rFonts w:ascii="Verdana" w:hAnsi="Verdana"/>
                <w:color w:val="auto"/>
                <w:sz w:val="20"/>
                <w:szCs w:val="20"/>
              </w:rPr>
            </w:pPr>
            <w:r w:rsidRPr="00BF0F2A">
              <w:rPr>
                <w:rStyle w:val="Cuerpodeltexto2105ptoNegritaCursiva"/>
                <w:rFonts w:ascii="Verdana" w:eastAsia="Microsoft Sans Serif" w:hAnsi="Verdana" w:cs="Microsoft Sans Serif"/>
                <w:color w:val="auto"/>
                <w:sz w:val="20"/>
                <w:szCs w:val="20"/>
              </w:rPr>
              <w:t>6.586</w:t>
            </w:r>
          </w:p>
        </w:tc>
        <w:tc>
          <w:tcPr>
            <w:tcW w:w="1162" w:type="dxa"/>
            <w:shd w:val="clear" w:color="auto" w:fill="8EAADB" w:themeFill="accent1" w:themeFillTint="99"/>
          </w:tcPr>
          <w:p w14:paraId="2AF7A112" w14:textId="77777777" w:rsidR="004D2742" w:rsidRPr="00BF0F2A" w:rsidRDefault="0062703E" w:rsidP="00BF0F2A">
            <w:pPr>
              <w:pStyle w:val="Sinespaciado"/>
              <w:rPr>
                <w:rFonts w:ascii="Verdana" w:hAnsi="Verdana"/>
                <w:color w:val="auto"/>
                <w:sz w:val="20"/>
                <w:szCs w:val="20"/>
              </w:rPr>
            </w:pPr>
            <w:r w:rsidRPr="00BF0F2A">
              <w:rPr>
                <w:rStyle w:val="Cuerpodeltexto2105ptoNegritaCursiva"/>
                <w:rFonts w:ascii="Verdana" w:eastAsia="Microsoft Sans Serif" w:hAnsi="Verdana" w:cs="Microsoft Sans Serif"/>
                <w:color w:val="auto"/>
                <w:sz w:val="20"/>
                <w:szCs w:val="20"/>
              </w:rPr>
              <w:t>6.126</w:t>
            </w:r>
          </w:p>
        </w:tc>
      </w:tr>
      <w:tr w:rsidR="00BF0F2A" w:rsidRPr="00BF0F2A" w14:paraId="459308B0" w14:textId="77777777" w:rsidTr="00BF0F2A">
        <w:trPr>
          <w:trHeight w:hRule="exact" w:val="274"/>
          <w:jc w:val="center"/>
        </w:trPr>
        <w:tc>
          <w:tcPr>
            <w:tcW w:w="5179" w:type="dxa"/>
            <w:shd w:val="clear" w:color="auto" w:fill="8EAADB" w:themeFill="accent1" w:themeFillTint="99"/>
          </w:tcPr>
          <w:p w14:paraId="683EA92A" w14:textId="77777777" w:rsidR="004D2742" w:rsidRPr="00BF0F2A" w:rsidRDefault="0062703E" w:rsidP="00BF0F2A">
            <w:pPr>
              <w:pStyle w:val="Sinespaciado"/>
              <w:rPr>
                <w:rFonts w:ascii="Verdana" w:hAnsi="Verdana"/>
                <w:color w:val="auto"/>
                <w:sz w:val="20"/>
                <w:szCs w:val="20"/>
              </w:rPr>
            </w:pPr>
            <w:r w:rsidRPr="00BF0F2A">
              <w:rPr>
                <w:rStyle w:val="Cuerpodeltexto2105ptoNegritaCursiva"/>
                <w:rFonts w:ascii="Verdana" w:eastAsia="Microsoft Sans Serif" w:hAnsi="Verdana" w:cs="Microsoft Sans Serif"/>
                <w:color w:val="auto"/>
                <w:sz w:val="20"/>
                <w:szCs w:val="20"/>
              </w:rPr>
              <w:t>Saludables</w:t>
            </w:r>
          </w:p>
        </w:tc>
        <w:tc>
          <w:tcPr>
            <w:tcW w:w="1152" w:type="dxa"/>
            <w:shd w:val="clear" w:color="auto" w:fill="8EAADB" w:themeFill="accent1" w:themeFillTint="99"/>
          </w:tcPr>
          <w:p w14:paraId="46EC93FD" w14:textId="77777777" w:rsidR="004D2742" w:rsidRPr="00BF0F2A" w:rsidRDefault="0062703E" w:rsidP="00BF0F2A">
            <w:pPr>
              <w:pStyle w:val="Sinespaciado"/>
              <w:rPr>
                <w:rFonts w:ascii="Verdana" w:hAnsi="Verdana"/>
                <w:color w:val="auto"/>
                <w:sz w:val="20"/>
                <w:szCs w:val="20"/>
              </w:rPr>
            </w:pPr>
            <w:r w:rsidRPr="00BF0F2A">
              <w:rPr>
                <w:rStyle w:val="Cuerpodeltexto2105ptoNegritaCursiva"/>
                <w:rFonts w:ascii="Verdana" w:eastAsia="Microsoft Sans Serif" w:hAnsi="Verdana" w:cs="Microsoft Sans Serif"/>
                <w:color w:val="auto"/>
                <w:sz w:val="20"/>
                <w:szCs w:val="20"/>
              </w:rPr>
              <w:t>1.267</w:t>
            </w:r>
          </w:p>
        </w:tc>
        <w:tc>
          <w:tcPr>
            <w:tcW w:w="1147" w:type="dxa"/>
            <w:shd w:val="clear" w:color="auto" w:fill="8EAADB" w:themeFill="accent1" w:themeFillTint="99"/>
          </w:tcPr>
          <w:p w14:paraId="7CF621AE" w14:textId="77777777" w:rsidR="004D2742" w:rsidRPr="00BF0F2A" w:rsidRDefault="0062703E" w:rsidP="00BF0F2A">
            <w:pPr>
              <w:pStyle w:val="Sinespaciado"/>
              <w:rPr>
                <w:rFonts w:ascii="Verdana" w:hAnsi="Verdana"/>
                <w:color w:val="auto"/>
                <w:sz w:val="20"/>
                <w:szCs w:val="20"/>
              </w:rPr>
            </w:pPr>
            <w:r w:rsidRPr="00BF0F2A">
              <w:rPr>
                <w:rStyle w:val="Cuerpodeltexto2105ptoNegritaCursiva"/>
                <w:rFonts w:ascii="Verdana" w:eastAsia="Microsoft Sans Serif" w:hAnsi="Verdana" w:cs="Microsoft Sans Serif"/>
                <w:color w:val="auto"/>
                <w:sz w:val="20"/>
                <w:szCs w:val="20"/>
              </w:rPr>
              <w:t>2.619</w:t>
            </w:r>
          </w:p>
        </w:tc>
        <w:tc>
          <w:tcPr>
            <w:tcW w:w="1147" w:type="dxa"/>
            <w:shd w:val="clear" w:color="auto" w:fill="8EAADB" w:themeFill="accent1" w:themeFillTint="99"/>
          </w:tcPr>
          <w:p w14:paraId="09770913" w14:textId="77777777" w:rsidR="004D2742" w:rsidRPr="00BF0F2A" w:rsidRDefault="0062703E" w:rsidP="00BF0F2A">
            <w:pPr>
              <w:pStyle w:val="Sinespaciado"/>
              <w:rPr>
                <w:rFonts w:ascii="Verdana" w:hAnsi="Verdana"/>
                <w:color w:val="auto"/>
                <w:sz w:val="20"/>
                <w:szCs w:val="20"/>
              </w:rPr>
            </w:pPr>
            <w:r w:rsidRPr="00BF0F2A">
              <w:rPr>
                <w:rStyle w:val="Cuerpodeltexto2105ptoNegritaCursiva"/>
                <w:rFonts w:ascii="Verdana" w:eastAsia="Microsoft Sans Serif" w:hAnsi="Verdana" w:cs="Microsoft Sans Serif"/>
                <w:color w:val="auto"/>
                <w:sz w:val="20"/>
                <w:szCs w:val="20"/>
              </w:rPr>
              <w:t>3.850</w:t>
            </w:r>
          </w:p>
        </w:tc>
        <w:tc>
          <w:tcPr>
            <w:tcW w:w="1162" w:type="dxa"/>
            <w:shd w:val="clear" w:color="auto" w:fill="8EAADB" w:themeFill="accent1" w:themeFillTint="99"/>
          </w:tcPr>
          <w:p w14:paraId="36A3D0EE" w14:textId="77777777" w:rsidR="004D2742" w:rsidRPr="00BF0F2A" w:rsidRDefault="0062703E" w:rsidP="00BF0F2A">
            <w:pPr>
              <w:pStyle w:val="Sinespaciado"/>
              <w:rPr>
                <w:rFonts w:ascii="Verdana" w:hAnsi="Verdana"/>
                <w:color w:val="auto"/>
                <w:sz w:val="20"/>
                <w:szCs w:val="20"/>
              </w:rPr>
            </w:pPr>
            <w:r w:rsidRPr="00BF0F2A">
              <w:rPr>
                <w:rStyle w:val="Cuerpodeltexto2105ptoNegritaCursiva"/>
                <w:rFonts w:ascii="Verdana" w:eastAsia="Microsoft Sans Serif" w:hAnsi="Verdana" w:cs="Microsoft Sans Serif"/>
                <w:color w:val="auto"/>
                <w:sz w:val="20"/>
                <w:szCs w:val="20"/>
              </w:rPr>
              <w:t>4.094</w:t>
            </w:r>
          </w:p>
        </w:tc>
      </w:tr>
      <w:tr w:rsidR="00BF0F2A" w:rsidRPr="00BF0F2A" w14:paraId="486885A9" w14:textId="77777777" w:rsidTr="00BF0F2A">
        <w:trPr>
          <w:trHeight w:hRule="exact" w:val="302"/>
          <w:jc w:val="center"/>
        </w:trPr>
        <w:tc>
          <w:tcPr>
            <w:tcW w:w="5179" w:type="dxa"/>
            <w:shd w:val="clear" w:color="auto" w:fill="D9E2F3" w:themeFill="accent1" w:themeFillTint="33"/>
          </w:tcPr>
          <w:p w14:paraId="34C113B1" w14:textId="77777777" w:rsidR="004D2742" w:rsidRPr="00BF0F2A" w:rsidRDefault="0062703E" w:rsidP="00BF0F2A">
            <w:pPr>
              <w:pStyle w:val="Sinespaciado"/>
              <w:rPr>
                <w:rFonts w:ascii="Verdana" w:hAnsi="Verdana"/>
                <w:color w:val="auto"/>
                <w:sz w:val="20"/>
                <w:szCs w:val="20"/>
              </w:rPr>
            </w:pPr>
            <w:r w:rsidRPr="00BF0F2A">
              <w:rPr>
                <w:rStyle w:val="Cuerpodeltexto2Arial105pto"/>
                <w:rFonts w:ascii="Verdana" w:eastAsia="Microsoft Sans Serif" w:hAnsi="Verdana" w:cs="Microsoft Sans Serif"/>
                <w:color w:val="auto"/>
                <w:sz w:val="20"/>
                <w:szCs w:val="20"/>
              </w:rPr>
              <w:lastRenderedPageBreak/>
              <w:t>Bebidas Azucaradas</w:t>
            </w:r>
          </w:p>
        </w:tc>
        <w:tc>
          <w:tcPr>
            <w:tcW w:w="1152" w:type="dxa"/>
            <w:shd w:val="clear" w:color="auto" w:fill="D9E2F3" w:themeFill="accent1" w:themeFillTint="33"/>
          </w:tcPr>
          <w:p w14:paraId="6E1D3947" w14:textId="77777777" w:rsidR="004D2742" w:rsidRPr="00BF0F2A" w:rsidRDefault="0062703E" w:rsidP="00BF0F2A">
            <w:pPr>
              <w:pStyle w:val="Sinespaciado"/>
              <w:rPr>
                <w:rFonts w:ascii="Verdana" w:hAnsi="Verdana"/>
                <w:color w:val="auto"/>
                <w:sz w:val="20"/>
                <w:szCs w:val="20"/>
              </w:rPr>
            </w:pPr>
            <w:r w:rsidRPr="00BF0F2A">
              <w:rPr>
                <w:rStyle w:val="Cuerpodeltexto2Arial105pto"/>
                <w:rFonts w:ascii="Verdana" w:eastAsia="Microsoft Sans Serif" w:hAnsi="Verdana" w:cs="Microsoft Sans Serif"/>
                <w:color w:val="auto"/>
                <w:sz w:val="20"/>
                <w:szCs w:val="20"/>
              </w:rPr>
              <w:t>578</w:t>
            </w:r>
          </w:p>
        </w:tc>
        <w:tc>
          <w:tcPr>
            <w:tcW w:w="1147" w:type="dxa"/>
            <w:shd w:val="clear" w:color="auto" w:fill="D9E2F3" w:themeFill="accent1" w:themeFillTint="33"/>
          </w:tcPr>
          <w:p w14:paraId="722B39AC" w14:textId="77777777" w:rsidR="004D2742" w:rsidRPr="00BF0F2A" w:rsidRDefault="0062703E" w:rsidP="00BF0F2A">
            <w:pPr>
              <w:pStyle w:val="Sinespaciado"/>
              <w:rPr>
                <w:rFonts w:ascii="Verdana" w:hAnsi="Verdana"/>
                <w:color w:val="auto"/>
                <w:sz w:val="20"/>
                <w:szCs w:val="20"/>
              </w:rPr>
            </w:pPr>
            <w:r w:rsidRPr="00BF0F2A">
              <w:rPr>
                <w:rStyle w:val="Cuerpodeltexto2Arial105pto"/>
                <w:rFonts w:ascii="Verdana" w:eastAsia="Microsoft Sans Serif" w:hAnsi="Verdana" w:cs="Microsoft Sans Serif"/>
                <w:color w:val="auto"/>
                <w:sz w:val="20"/>
                <w:szCs w:val="20"/>
              </w:rPr>
              <w:t>1.155</w:t>
            </w:r>
          </w:p>
        </w:tc>
        <w:tc>
          <w:tcPr>
            <w:tcW w:w="1147" w:type="dxa"/>
            <w:shd w:val="clear" w:color="auto" w:fill="D9E2F3" w:themeFill="accent1" w:themeFillTint="33"/>
          </w:tcPr>
          <w:p w14:paraId="7F507670" w14:textId="77777777" w:rsidR="004D2742" w:rsidRPr="00BF0F2A" w:rsidRDefault="0062703E" w:rsidP="00BF0F2A">
            <w:pPr>
              <w:pStyle w:val="Sinespaciado"/>
              <w:rPr>
                <w:rFonts w:ascii="Verdana" w:hAnsi="Verdana"/>
                <w:color w:val="auto"/>
                <w:sz w:val="20"/>
                <w:szCs w:val="20"/>
              </w:rPr>
            </w:pPr>
            <w:r w:rsidRPr="00BF0F2A">
              <w:rPr>
                <w:rStyle w:val="Cuerpodeltexto2Arial105pto"/>
                <w:rFonts w:ascii="Verdana" w:eastAsia="Microsoft Sans Serif" w:hAnsi="Verdana" w:cs="Microsoft Sans Serif"/>
                <w:color w:val="auto"/>
                <w:sz w:val="20"/>
                <w:szCs w:val="20"/>
              </w:rPr>
              <w:t>1.670</w:t>
            </w:r>
          </w:p>
        </w:tc>
        <w:tc>
          <w:tcPr>
            <w:tcW w:w="1162" w:type="dxa"/>
            <w:shd w:val="clear" w:color="auto" w:fill="D9E2F3" w:themeFill="accent1" w:themeFillTint="33"/>
          </w:tcPr>
          <w:p w14:paraId="4CDCA9BD" w14:textId="77777777" w:rsidR="004D2742" w:rsidRPr="00BF0F2A" w:rsidRDefault="0062703E" w:rsidP="00BF0F2A">
            <w:pPr>
              <w:pStyle w:val="Sinespaciado"/>
              <w:rPr>
                <w:rFonts w:ascii="Verdana" w:hAnsi="Verdana"/>
                <w:color w:val="auto"/>
                <w:sz w:val="20"/>
                <w:szCs w:val="20"/>
              </w:rPr>
            </w:pPr>
            <w:r w:rsidRPr="00BF0F2A">
              <w:rPr>
                <w:rStyle w:val="Cuerpodeltexto2Arial105pto"/>
                <w:rFonts w:ascii="Verdana" w:eastAsia="Microsoft Sans Serif" w:hAnsi="Verdana" w:cs="Microsoft Sans Serif"/>
                <w:color w:val="auto"/>
                <w:sz w:val="20"/>
                <w:szCs w:val="20"/>
              </w:rPr>
              <w:t>1.776</w:t>
            </w:r>
          </w:p>
        </w:tc>
      </w:tr>
      <w:tr w:rsidR="00BF0F2A" w:rsidRPr="00BF0F2A" w14:paraId="583EF58B" w14:textId="77777777" w:rsidTr="00BF0F2A">
        <w:trPr>
          <w:trHeight w:hRule="exact" w:val="293"/>
          <w:jc w:val="center"/>
        </w:trPr>
        <w:tc>
          <w:tcPr>
            <w:tcW w:w="5179" w:type="dxa"/>
            <w:shd w:val="clear" w:color="auto" w:fill="D9E2F3" w:themeFill="accent1" w:themeFillTint="33"/>
          </w:tcPr>
          <w:p w14:paraId="6CDC819A" w14:textId="77777777" w:rsidR="004D2742" w:rsidRPr="00BF0F2A" w:rsidRDefault="0062703E" w:rsidP="00BF0F2A">
            <w:pPr>
              <w:pStyle w:val="Sinespaciado"/>
              <w:rPr>
                <w:rFonts w:ascii="Verdana" w:hAnsi="Verdana"/>
                <w:color w:val="auto"/>
                <w:sz w:val="20"/>
                <w:szCs w:val="20"/>
              </w:rPr>
            </w:pPr>
            <w:r w:rsidRPr="00BF0F2A">
              <w:rPr>
                <w:rStyle w:val="Cuerpodeltexto2Arial105pto"/>
                <w:rFonts w:ascii="Verdana" w:eastAsia="Microsoft Sans Serif" w:hAnsi="Verdana" w:cs="Microsoft Sans Serif"/>
                <w:color w:val="auto"/>
                <w:sz w:val="20"/>
                <w:szCs w:val="20"/>
              </w:rPr>
              <w:t>Ultraprocesados</w:t>
            </w:r>
          </w:p>
        </w:tc>
        <w:tc>
          <w:tcPr>
            <w:tcW w:w="1152" w:type="dxa"/>
            <w:shd w:val="clear" w:color="auto" w:fill="D9E2F3" w:themeFill="accent1" w:themeFillTint="33"/>
          </w:tcPr>
          <w:p w14:paraId="6264EFA6" w14:textId="77777777" w:rsidR="004D2742" w:rsidRPr="00BF0F2A" w:rsidRDefault="0062703E" w:rsidP="00BF0F2A">
            <w:pPr>
              <w:pStyle w:val="Sinespaciado"/>
              <w:rPr>
                <w:rFonts w:ascii="Verdana" w:hAnsi="Verdana"/>
                <w:color w:val="auto"/>
                <w:sz w:val="20"/>
                <w:szCs w:val="20"/>
              </w:rPr>
            </w:pPr>
            <w:r w:rsidRPr="00BF0F2A">
              <w:rPr>
                <w:rStyle w:val="Cuerpodeltexto2Arial105pto"/>
                <w:rFonts w:ascii="Verdana" w:eastAsia="Microsoft Sans Serif" w:hAnsi="Verdana" w:cs="Microsoft Sans Serif"/>
                <w:color w:val="auto"/>
                <w:sz w:val="20"/>
                <w:szCs w:val="20"/>
              </w:rPr>
              <w:t>689</w:t>
            </w:r>
          </w:p>
        </w:tc>
        <w:tc>
          <w:tcPr>
            <w:tcW w:w="1147" w:type="dxa"/>
            <w:shd w:val="clear" w:color="auto" w:fill="D9E2F3" w:themeFill="accent1" w:themeFillTint="33"/>
          </w:tcPr>
          <w:p w14:paraId="554A9323" w14:textId="77777777" w:rsidR="004D2742" w:rsidRPr="00BF0F2A" w:rsidRDefault="0062703E" w:rsidP="00BF0F2A">
            <w:pPr>
              <w:pStyle w:val="Sinespaciado"/>
              <w:rPr>
                <w:rFonts w:ascii="Verdana" w:hAnsi="Verdana"/>
                <w:color w:val="auto"/>
                <w:sz w:val="20"/>
                <w:szCs w:val="20"/>
              </w:rPr>
            </w:pPr>
            <w:r w:rsidRPr="00BF0F2A">
              <w:rPr>
                <w:rStyle w:val="Cuerpodeltexto2Arial105pto"/>
                <w:rFonts w:ascii="Verdana" w:eastAsia="Microsoft Sans Serif" w:hAnsi="Verdana" w:cs="Microsoft Sans Serif"/>
                <w:color w:val="auto"/>
                <w:sz w:val="20"/>
                <w:szCs w:val="20"/>
              </w:rPr>
              <w:t>1.464</w:t>
            </w:r>
          </w:p>
        </w:tc>
        <w:tc>
          <w:tcPr>
            <w:tcW w:w="1147" w:type="dxa"/>
            <w:shd w:val="clear" w:color="auto" w:fill="D9E2F3" w:themeFill="accent1" w:themeFillTint="33"/>
          </w:tcPr>
          <w:p w14:paraId="28FB8BC5" w14:textId="77777777" w:rsidR="004D2742" w:rsidRPr="00BF0F2A" w:rsidRDefault="0062703E" w:rsidP="00BF0F2A">
            <w:pPr>
              <w:pStyle w:val="Sinespaciado"/>
              <w:rPr>
                <w:rFonts w:ascii="Verdana" w:hAnsi="Verdana"/>
                <w:color w:val="auto"/>
                <w:sz w:val="20"/>
                <w:szCs w:val="20"/>
              </w:rPr>
            </w:pPr>
            <w:r w:rsidRPr="00BF0F2A">
              <w:rPr>
                <w:rStyle w:val="Cuerpodeltexto2Arial105pto"/>
                <w:rFonts w:ascii="Verdana" w:eastAsia="Microsoft Sans Serif" w:hAnsi="Verdana" w:cs="Microsoft Sans Serif"/>
                <w:color w:val="auto"/>
                <w:sz w:val="20"/>
                <w:szCs w:val="20"/>
              </w:rPr>
              <w:t>2.180</w:t>
            </w:r>
          </w:p>
        </w:tc>
        <w:tc>
          <w:tcPr>
            <w:tcW w:w="1162" w:type="dxa"/>
            <w:shd w:val="clear" w:color="auto" w:fill="D9E2F3" w:themeFill="accent1" w:themeFillTint="33"/>
          </w:tcPr>
          <w:p w14:paraId="552DC72D" w14:textId="77777777" w:rsidR="004D2742" w:rsidRPr="00BF0F2A" w:rsidRDefault="0062703E" w:rsidP="00BF0F2A">
            <w:pPr>
              <w:pStyle w:val="Sinespaciado"/>
              <w:rPr>
                <w:rFonts w:ascii="Verdana" w:hAnsi="Verdana"/>
                <w:color w:val="auto"/>
                <w:sz w:val="20"/>
                <w:szCs w:val="20"/>
              </w:rPr>
            </w:pPr>
            <w:r w:rsidRPr="00BF0F2A">
              <w:rPr>
                <w:rStyle w:val="Cuerpodeltexto2Arial105pto"/>
                <w:rFonts w:ascii="Verdana" w:eastAsia="Microsoft Sans Serif" w:hAnsi="Verdana" w:cs="Microsoft Sans Serif"/>
                <w:color w:val="auto"/>
                <w:sz w:val="20"/>
                <w:szCs w:val="20"/>
              </w:rPr>
              <w:t>2.318</w:t>
            </w:r>
          </w:p>
        </w:tc>
      </w:tr>
      <w:tr w:rsidR="00BF0F2A" w:rsidRPr="00BF0F2A" w14:paraId="26013906" w14:textId="77777777" w:rsidTr="00BF0F2A">
        <w:trPr>
          <w:trHeight w:hRule="exact" w:val="259"/>
          <w:jc w:val="center"/>
        </w:trPr>
        <w:tc>
          <w:tcPr>
            <w:tcW w:w="5179" w:type="dxa"/>
            <w:shd w:val="clear" w:color="auto" w:fill="8EAADB" w:themeFill="accent1" w:themeFillTint="99"/>
          </w:tcPr>
          <w:p w14:paraId="025EBA6E" w14:textId="77777777" w:rsidR="004D2742" w:rsidRPr="00BF0F2A" w:rsidRDefault="0062703E" w:rsidP="00BF0F2A">
            <w:pPr>
              <w:pStyle w:val="Sinespaciado"/>
              <w:rPr>
                <w:rFonts w:ascii="Verdana" w:hAnsi="Verdana"/>
                <w:color w:val="auto"/>
                <w:sz w:val="20"/>
                <w:szCs w:val="20"/>
              </w:rPr>
            </w:pPr>
            <w:r w:rsidRPr="00BF0F2A">
              <w:rPr>
                <w:rStyle w:val="Cuerpodeltexto2105ptoNegritaCursiva"/>
                <w:rFonts w:ascii="Verdana" w:eastAsia="Microsoft Sans Serif" w:hAnsi="Verdana" w:cs="Microsoft Sans Serif"/>
                <w:color w:val="auto"/>
                <w:sz w:val="20"/>
                <w:szCs w:val="20"/>
              </w:rPr>
              <w:t>Ambientales</w:t>
            </w:r>
          </w:p>
        </w:tc>
        <w:tc>
          <w:tcPr>
            <w:tcW w:w="1152" w:type="dxa"/>
            <w:shd w:val="clear" w:color="auto" w:fill="8EAADB" w:themeFill="accent1" w:themeFillTint="99"/>
          </w:tcPr>
          <w:p w14:paraId="0722B4C7" w14:textId="77777777" w:rsidR="004D2742" w:rsidRPr="00BF0F2A" w:rsidRDefault="0062703E" w:rsidP="00BF0F2A">
            <w:pPr>
              <w:pStyle w:val="Sinespaciado"/>
              <w:rPr>
                <w:rFonts w:ascii="Verdana" w:hAnsi="Verdana"/>
                <w:color w:val="auto"/>
                <w:sz w:val="20"/>
                <w:szCs w:val="20"/>
              </w:rPr>
            </w:pPr>
            <w:r w:rsidRPr="00BF0F2A">
              <w:rPr>
                <w:rStyle w:val="Cuerpodeltexto2105ptoNegritaCursiva"/>
                <w:rFonts w:ascii="Verdana" w:eastAsia="Microsoft Sans Serif" w:hAnsi="Verdana" w:cs="Microsoft Sans Serif"/>
                <w:color w:val="auto"/>
                <w:sz w:val="20"/>
                <w:szCs w:val="20"/>
              </w:rPr>
              <w:t>84</w:t>
            </w:r>
          </w:p>
        </w:tc>
        <w:tc>
          <w:tcPr>
            <w:tcW w:w="1147" w:type="dxa"/>
            <w:shd w:val="clear" w:color="auto" w:fill="8EAADB" w:themeFill="accent1" w:themeFillTint="99"/>
          </w:tcPr>
          <w:p w14:paraId="597DED37" w14:textId="77777777" w:rsidR="004D2742" w:rsidRPr="00BF0F2A" w:rsidRDefault="0062703E" w:rsidP="00BF0F2A">
            <w:pPr>
              <w:pStyle w:val="Sinespaciado"/>
              <w:rPr>
                <w:rFonts w:ascii="Verdana" w:hAnsi="Verdana"/>
                <w:color w:val="auto"/>
                <w:sz w:val="20"/>
                <w:szCs w:val="20"/>
              </w:rPr>
            </w:pPr>
            <w:r w:rsidRPr="00BF0F2A">
              <w:rPr>
                <w:rStyle w:val="Cuerpodeltexto2105ptoNegritaCursiva"/>
                <w:rFonts w:ascii="Verdana" w:eastAsia="Microsoft Sans Serif" w:hAnsi="Verdana" w:cs="Microsoft Sans Serif"/>
                <w:color w:val="auto"/>
                <w:sz w:val="20"/>
                <w:szCs w:val="20"/>
              </w:rPr>
              <w:t>165</w:t>
            </w:r>
          </w:p>
        </w:tc>
        <w:tc>
          <w:tcPr>
            <w:tcW w:w="1147" w:type="dxa"/>
            <w:shd w:val="clear" w:color="auto" w:fill="8EAADB" w:themeFill="accent1" w:themeFillTint="99"/>
          </w:tcPr>
          <w:p w14:paraId="4F024D48" w14:textId="77777777" w:rsidR="004D2742" w:rsidRPr="00BF0F2A" w:rsidRDefault="0062703E" w:rsidP="00BF0F2A">
            <w:pPr>
              <w:pStyle w:val="Sinespaciado"/>
              <w:rPr>
                <w:rFonts w:ascii="Verdana" w:hAnsi="Verdana"/>
                <w:color w:val="auto"/>
                <w:sz w:val="20"/>
                <w:szCs w:val="20"/>
              </w:rPr>
            </w:pPr>
            <w:r w:rsidRPr="00BF0F2A">
              <w:rPr>
                <w:rStyle w:val="Cuerpodeltexto2105ptoNegritaCursiva"/>
                <w:rFonts w:ascii="Verdana" w:eastAsia="Microsoft Sans Serif" w:hAnsi="Verdana" w:cs="Microsoft Sans Serif"/>
                <w:color w:val="auto"/>
                <w:sz w:val="20"/>
                <w:szCs w:val="20"/>
              </w:rPr>
              <w:t>243</w:t>
            </w:r>
          </w:p>
        </w:tc>
        <w:tc>
          <w:tcPr>
            <w:tcW w:w="1162" w:type="dxa"/>
            <w:shd w:val="clear" w:color="auto" w:fill="8EAADB" w:themeFill="accent1" w:themeFillTint="99"/>
          </w:tcPr>
          <w:p w14:paraId="265BACCF" w14:textId="77777777" w:rsidR="004D2742" w:rsidRPr="00BF0F2A" w:rsidRDefault="0062703E" w:rsidP="00BF0F2A">
            <w:pPr>
              <w:pStyle w:val="Sinespaciado"/>
              <w:rPr>
                <w:rFonts w:ascii="Verdana" w:hAnsi="Verdana"/>
                <w:color w:val="auto"/>
                <w:sz w:val="20"/>
                <w:szCs w:val="20"/>
              </w:rPr>
            </w:pPr>
            <w:r w:rsidRPr="00BF0F2A">
              <w:rPr>
                <w:rStyle w:val="Cuerpodeltexto2105ptoNegritaCursiva"/>
                <w:rFonts w:ascii="Verdana" w:eastAsia="Microsoft Sans Serif" w:hAnsi="Verdana" w:cs="Microsoft Sans Serif"/>
                <w:color w:val="auto"/>
                <w:sz w:val="20"/>
                <w:szCs w:val="20"/>
              </w:rPr>
              <w:t>335</w:t>
            </w:r>
          </w:p>
        </w:tc>
      </w:tr>
      <w:tr w:rsidR="00BF0F2A" w:rsidRPr="00BF0F2A" w14:paraId="79524618" w14:textId="77777777" w:rsidTr="00BF0F2A">
        <w:trPr>
          <w:trHeight w:hRule="exact" w:val="312"/>
          <w:jc w:val="center"/>
        </w:trPr>
        <w:tc>
          <w:tcPr>
            <w:tcW w:w="5179" w:type="dxa"/>
            <w:shd w:val="clear" w:color="auto" w:fill="D9E2F3" w:themeFill="accent1" w:themeFillTint="33"/>
          </w:tcPr>
          <w:p w14:paraId="17F55B05" w14:textId="77777777" w:rsidR="004D2742" w:rsidRPr="00BF0F2A" w:rsidRDefault="0062703E" w:rsidP="00BF0F2A">
            <w:pPr>
              <w:pStyle w:val="Sinespaciado"/>
              <w:rPr>
                <w:rFonts w:ascii="Verdana" w:hAnsi="Verdana"/>
                <w:color w:val="auto"/>
                <w:sz w:val="20"/>
                <w:szCs w:val="20"/>
              </w:rPr>
            </w:pPr>
            <w:r w:rsidRPr="00BF0F2A">
              <w:rPr>
                <w:rStyle w:val="Cuerpodeltexto2Arial105pto"/>
                <w:rFonts w:ascii="Verdana" w:eastAsia="Microsoft Sans Serif" w:hAnsi="Verdana" w:cs="Microsoft Sans Serif"/>
                <w:color w:val="auto"/>
                <w:sz w:val="20"/>
                <w:szCs w:val="20"/>
              </w:rPr>
              <w:t>Impuesto al carbono</w:t>
            </w:r>
          </w:p>
        </w:tc>
        <w:tc>
          <w:tcPr>
            <w:tcW w:w="1152" w:type="dxa"/>
            <w:shd w:val="clear" w:color="auto" w:fill="D9E2F3" w:themeFill="accent1" w:themeFillTint="33"/>
          </w:tcPr>
          <w:p w14:paraId="3AB19F5D" w14:textId="77777777" w:rsidR="004D2742" w:rsidRPr="00BF0F2A" w:rsidRDefault="0062703E" w:rsidP="00BF0F2A">
            <w:pPr>
              <w:pStyle w:val="Sinespaciado"/>
              <w:rPr>
                <w:rFonts w:ascii="Verdana" w:hAnsi="Verdana"/>
                <w:color w:val="auto"/>
                <w:sz w:val="20"/>
                <w:szCs w:val="20"/>
              </w:rPr>
            </w:pPr>
            <w:r w:rsidRPr="00BF0F2A">
              <w:rPr>
                <w:rStyle w:val="Cuerpodeltexto2Arial105pto"/>
                <w:rFonts w:ascii="Verdana" w:eastAsia="Microsoft Sans Serif" w:hAnsi="Verdana" w:cs="Microsoft Sans Serif"/>
                <w:color w:val="auto"/>
                <w:sz w:val="20"/>
                <w:szCs w:val="20"/>
              </w:rPr>
              <w:t>-58</w:t>
            </w:r>
          </w:p>
        </w:tc>
        <w:tc>
          <w:tcPr>
            <w:tcW w:w="1147" w:type="dxa"/>
            <w:shd w:val="clear" w:color="auto" w:fill="D9E2F3" w:themeFill="accent1" w:themeFillTint="33"/>
          </w:tcPr>
          <w:p w14:paraId="4B3B96BD" w14:textId="77777777" w:rsidR="004D2742" w:rsidRPr="00BF0F2A" w:rsidRDefault="0062703E" w:rsidP="00BF0F2A">
            <w:pPr>
              <w:pStyle w:val="Sinespaciado"/>
              <w:rPr>
                <w:rFonts w:ascii="Verdana" w:hAnsi="Verdana"/>
                <w:color w:val="auto"/>
                <w:sz w:val="20"/>
                <w:szCs w:val="20"/>
              </w:rPr>
            </w:pPr>
            <w:r w:rsidRPr="00BF0F2A">
              <w:rPr>
                <w:rStyle w:val="Cuerpodeltexto2Arial105pto"/>
                <w:rFonts w:ascii="Verdana" w:eastAsia="Microsoft Sans Serif" w:hAnsi="Verdana" w:cs="Microsoft Sans Serif"/>
                <w:color w:val="auto"/>
                <w:sz w:val="20"/>
                <w:szCs w:val="20"/>
              </w:rPr>
              <w:t>-69</w:t>
            </w:r>
          </w:p>
        </w:tc>
        <w:tc>
          <w:tcPr>
            <w:tcW w:w="1147" w:type="dxa"/>
            <w:shd w:val="clear" w:color="auto" w:fill="D9E2F3" w:themeFill="accent1" w:themeFillTint="33"/>
          </w:tcPr>
          <w:p w14:paraId="4812B656" w14:textId="77777777" w:rsidR="004D2742" w:rsidRPr="00BF0F2A" w:rsidRDefault="0062703E" w:rsidP="00BF0F2A">
            <w:pPr>
              <w:pStyle w:val="Sinespaciado"/>
              <w:rPr>
                <w:rFonts w:ascii="Verdana" w:hAnsi="Verdana"/>
                <w:color w:val="auto"/>
                <w:sz w:val="20"/>
                <w:szCs w:val="20"/>
              </w:rPr>
            </w:pPr>
            <w:r w:rsidRPr="00BF0F2A">
              <w:rPr>
                <w:rStyle w:val="Cuerpodeltexto2Arial105pto"/>
                <w:rFonts w:ascii="Verdana" w:eastAsia="Microsoft Sans Serif" w:hAnsi="Verdana" w:cs="Microsoft Sans Serif"/>
                <w:color w:val="auto"/>
                <w:sz w:val="20"/>
                <w:szCs w:val="20"/>
              </w:rPr>
              <w:t>-6</w:t>
            </w:r>
          </w:p>
        </w:tc>
        <w:tc>
          <w:tcPr>
            <w:tcW w:w="1162" w:type="dxa"/>
            <w:shd w:val="clear" w:color="auto" w:fill="D9E2F3" w:themeFill="accent1" w:themeFillTint="33"/>
          </w:tcPr>
          <w:p w14:paraId="10E9EDBE" w14:textId="77777777" w:rsidR="004D2742" w:rsidRPr="00BF0F2A" w:rsidRDefault="0062703E" w:rsidP="00BF0F2A">
            <w:pPr>
              <w:pStyle w:val="Sinespaciado"/>
              <w:rPr>
                <w:rFonts w:ascii="Verdana" w:hAnsi="Verdana"/>
                <w:color w:val="auto"/>
                <w:sz w:val="20"/>
                <w:szCs w:val="20"/>
              </w:rPr>
            </w:pPr>
            <w:r w:rsidRPr="00BF0F2A">
              <w:rPr>
                <w:rStyle w:val="Cuerpodeltexto2Arial105pto"/>
                <w:rFonts w:ascii="Verdana" w:eastAsia="Microsoft Sans Serif" w:hAnsi="Verdana" w:cs="Microsoft Sans Serif"/>
                <w:color w:val="auto"/>
                <w:sz w:val="20"/>
                <w:szCs w:val="20"/>
              </w:rPr>
              <w:t>69</w:t>
            </w:r>
          </w:p>
        </w:tc>
      </w:tr>
      <w:tr w:rsidR="00BF0F2A" w:rsidRPr="00BF0F2A" w14:paraId="5EBB81B8" w14:textId="77777777" w:rsidTr="00BF0F2A">
        <w:trPr>
          <w:trHeight w:hRule="exact" w:val="288"/>
          <w:jc w:val="center"/>
        </w:trPr>
        <w:tc>
          <w:tcPr>
            <w:tcW w:w="5179" w:type="dxa"/>
            <w:shd w:val="clear" w:color="auto" w:fill="D9E2F3" w:themeFill="accent1" w:themeFillTint="33"/>
          </w:tcPr>
          <w:p w14:paraId="64581023" w14:textId="77777777" w:rsidR="004D2742" w:rsidRPr="00BF0F2A" w:rsidRDefault="0062703E" w:rsidP="00BF0F2A">
            <w:pPr>
              <w:pStyle w:val="Sinespaciado"/>
              <w:rPr>
                <w:rFonts w:ascii="Verdana" w:hAnsi="Verdana"/>
                <w:color w:val="auto"/>
                <w:sz w:val="20"/>
                <w:szCs w:val="20"/>
              </w:rPr>
            </w:pPr>
            <w:r w:rsidRPr="00BF0F2A">
              <w:rPr>
                <w:rStyle w:val="Cuerpodeltexto2Arial105pto"/>
                <w:rFonts w:ascii="Verdana" w:eastAsia="Microsoft Sans Serif" w:hAnsi="Verdana" w:cs="Microsoft Sans Serif"/>
                <w:color w:val="auto"/>
                <w:sz w:val="20"/>
                <w:szCs w:val="20"/>
              </w:rPr>
              <w:t>Plásticos de un solo uso</w:t>
            </w:r>
          </w:p>
        </w:tc>
        <w:tc>
          <w:tcPr>
            <w:tcW w:w="1152" w:type="dxa"/>
            <w:shd w:val="clear" w:color="auto" w:fill="D9E2F3" w:themeFill="accent1" w:themeFillTint="33"/>
          </w:tcPr>
          <w:p w14:paraId="216FEDA7" w14:textId="77777777" w:rsidR="004D2742" w:rsidRPr="00BF0F2A" w:rsidRDefault="0062703E" w:rsidP="00BF0F2A">
            <w:pPr>
              <w:pStyle w:val="Sinespaciado"/>
              <w:rPr>
                <w:rFonts w:ascii="Verdana" w:hAnsi="Verdana"/>
                <w:color w:val="auto"/>
                <w:sz w:val="20"/>
                <w:szCs w:val="20"/>
              </w:rPr>
            </w:pPr>
            <w:r w:rsidRPr="00BF0F2A">
              <w:rPr>
                <w:rStyle w:val="Cuerpodeltexto2Arial105pto"/>
                <w:rFonts w:ascii="Verdana" w:eastAsia="Microsoft Sans Serif" w:hAnsi="Verdana" w:cs="Microsoft Sans Serif"/>
                <w:color w:val="auto"/>
                <w:sz w:val="20"/>
                <w:szCs w:val="20"/>
              </w:rPr>
              <w:t>143</w:t>
            </w:r>
          </w:p>
        </w:tc>
        <w:tc>
          <w:tcPr>
            <w:tcW w:w="1147" w:type="dxa"/>
            <w:shd w:val="clear" w:color="auto" w:fill="D9E2F3" w:themeFill="accent1" w:themeFillTint="33"/>
          </w:tcPr>
          <w:p w14:paraId="5DFCD876" w14:textId="77777777" w:rsidR="004D2742" w:rsidRPr="00BF0F2A" w:rsidRDefault="0062703E" w:rsidP="00BF0F2A">
            <w:pPr>
              <w:pStyle w:val="Sinespaciado"/>
              <w:rPr>
                <w:rFonts w:ascii="Verdana" w:hAnsi="Verdana"/>
                <w:color w:val="auto"/>
                <w:sz w:val="20"/>
                <w:szCs w:val="20"/>
              </w:rPr>
            </w:pPr>
            <w:r w:rsidRPr="00BF0F2A">
              <w:rPr>
                <w:rStyle w:val="Cuerpodeltexto2Arial105pto"/>
                <w:rFonts w:ascii="Verdana" w:eastAsia="Microsoft Sans Serif" w:hAnsi="Verdana" w:cs="Microsoft Sans Serif"/>
                <w:color w:val="auto"/>
                <w:sz w:val="20"/>
                <w:szCs w:val="20"/>
              </w:rPr>
              <w:t>235</w:t>
            </w:r>
          </w:p>
        </w:tc>
        <w:tc>
          <w:tcPr>
            <w:tcW w:w="1147" w:type="dxa"/>
            <w:shd w:val="clear" w:color="auto" w:fill="D9E2F3" w:themeFill="accent1" w:themeFillTint="33"/>
          </w:tcPr>
          <w:p w14:paraId="48091AEE" w14:textId="77777777" w:rsidR="004D2742" w:rsidRPr="00BF0F2A" w:rsidRDefault="0062703E" w:rsidP="00BF0F2A">
            <w:pPr>
              <w:pStyle w:val="Sinespaciado"/>
              <w:rPr>
                <w:rFonts w:ascii="Verdana" w:hAnsi="Verdana"/>
                <w:color w:val="auto"/>
                <w:sz w:val="20"/>
                <w:szCs w:val="20"/>
              </w:rPr>
            </w:pPr>
            <w:r w:rsidRPr="00BF0F2A">
              <w:rPr>
                <w:rStyle w:val="Cuerpodeltexto2Arial105pto"/>
                <w:rFonts w:ascii="Verdana" w:eastAsia="Microsoft Sans Serif" w:hAnsi="Verdana" w:cs="Microsoft Sans Serif"/>
                <w:color w:val="auto"/>
                <w:sz w:val="20"/>
                <w:szCs w:val="20"/>
              </w:rPr>
              <w:t>249</w:t>
            </w:r>
          </w:p>
        </w:tc>
        <w:tc>
          <w:tcPr>
            <w:tcW w:w="1162" w:type="dxa"/>
            <w:shd w:val="clear" w:color="auto" w:fill="D9E2F3" w:themeFill="accent1" w:themeFillTint="33"/>
          </w:tcPr>
          <w:p w14:paraId="205B042A" w14:textId="77777777" w:rsidR="004D2742" w:rsidRPr="00BF0F2A" w:rsidRDefault="0062703E" w:rsidP="00BF0F2A">
            <w:pPr>
              <w:pStyle w:val="Sinespaciado"/>
              <w:rPr>
                <w:rFonts w:ascii="Verdana" w:hAnsi="Verdana"/>
                <w:color w:val="auto"/>
                <w:sz w:val="20"/>
                <w:szCs w:val="20"/>
              </w:rPr>
            </w:pPr>
            <w:r w:rsidRPr="00BF0F2A">
              <w:rPr>
                <w:rStyle w:val="Cuerpodeltexto2Arial105pto"/>
                <w:rFonts w:ascii="Verdana" w:eastAsia="Microsoft Sans Serif" w:hAnsi="Verdana" w:cs="Microsoft Sans Serif"/>
                <w:color w:val="auto"/>
                <w:sz w:val="20"/>
                <w:szCs w:val="20"/>
              </w:rPr>
              <w:t>265</w:t>
            </w:r>
          </w:p>
        </w:tc>
      </w:tr>
      <w:tr w:rsidR="00BF0F2A" w:rsidRPr="00BF0F2A" w14:paraId="4D3C1B7F" w14:textId="77777777" w:rsidTr="00BF0F2A">
        <w:trPr>
          <w:trHeight w:hRule="exact" w:val="283"/>
          <w:jc w:val="center"/>
        </w:trPr>
        <w:tc>
          <w:tcPr>
            <w:tcW w:w="5179" w:type="dxa"/>
            <w:shd w:val="clear" w:color="auto" w:fill="8EAADB" w:themeFill="accent1" w:themeFillTint="99"/>
          </w:tcPr>
          <w:p w14:paraId="5A6C4E1A" w14:textId="77777777" w:rsidR="004D2742" w:rsidRPr="00BF0F2A" w:rsidRDefault="0062703E" w:rsidP="00BF0F2A">
            <w:pPr>
              <w:pStyle w:val="Sinespaciado"/>
              <w:rPr>
                <w:rFonts w:ascii="Verdana" w:hAnsi="Verdana"/>
                <w:color w:val="auto"/>
                <w:sz w:val="20"/>
                <w:szCs w:val="20"/>
              </w:rPr>
            </w:pPr>
            <w:r w:rsidRPr="00BF0F2A">
              <w:rPr>
                <w:rStyle w:val="Cuerpodeltexto2105ptoNegritaCursiva"/>
                <w:rFonts w:ascii="Verdana" w:eastAsia="Microsoft Sans Serif" w:hAnsi="Verdana" w:cs="Microsoft Sans Serif"/>
                <w:color w:val="auto"/>
                <w:sz w:val="20"/>
                <w:szCs w:val="20"/>
              </w:rPr>
              <w:t>Otras Medidas</w:t>
            </w:r>
          </w:p>
        </w:tc>
        <w:tc>
          <w:tcPr>
            <w:tcW w:w="1152" w:type="dxa"/>
            <w:shd w:val="clear" w:color="auto" w:fill="8EAADB" w:themeFill="accent1" w:themeFillTint="99"/>
          </w:tcPr>
          <w:p w14:paraId="07FD289F" w14:textId="77777777" w:rsidR="004D2742" w:rsidRPr="00BF0F2A" w:rsidRDefault="0062703E" w:rsidP="00BF0F2A">
            <w:pPr>
              <w:pStyle w:val="Sinespaciado"/>
              <w:rPr>
                <w:rFonts w:ascii="Verdana" w:hAnsi="Verdana"/>
                <w:color w:val="auto"/>
                <w:sz w:val="20"/>
                <w:szCs w:val="20"/>
              </w:rPr>
            </w:pPr>
            <w:r w:rsidRPr="00BF0F2A">
              <w:rPr>
                <w:rStyle w:val="Cuerpodeltexto2105ptoNegritaCursiva"/>
                <w:rFonts w:ascii="Verdana" w:eastAsia="Microsoft Sans Serif" w:hAnsi="Verdana" w:cs="Microsoft Sans Serif"/>
                <w:color w:val="auto"/>
                <w:sz w:val="20"/>
                <w:szCs w:val="20"/>
              </w:rPr>
              <w:t>2.982</w:t>
            </w:r>
          </w:p>
        </w:tc>
        <w:tc>
          <w:tcPr>
            <w:tcW w:w="1147" w:type="dxa"/>
            <w:shd w:val="clear" w:color="auto" w:fill="8EAADB" w:themeFill="accent1" w:themeFillTint="99"/>
          </w:tcPr>
          <w:p w14:paraId="160C01D4" w14:textId="77777777" w:rsidR="004D2742" w:rsidRPr="00BF0F2A" w:rsidRDefault="0062703E" w:rsidP="00BF0F2A">
            <w:pPr>
              <w:pStyle w:val="Sinespaciado"/>
              <w:rPr>
                <w:rFonts w:ascii="Verdana" w:hAnsi="Verdana"/>
                <w:color w:val="auto"/>
                <w:sz w:val="20"/>
                <w:szCs w:val="20"/>
              </w:rPr>
            </w:pPr>
            <w:r w:rsidRPr="00BF0F2A">
              <w:rPr>
                <w:rStyle w:val="Cuerpodeltexto2105ptoNegritaCursiva"/>
                <w:rFonts w:ascii="Verdana" w:eastAsia="Microsoft Sans Serif" w:hAnsi="Verdana" w:cs="Microsoft Sans Serif"/>
                <w:color w:val="auto"/>
                <w:sz w:val="20"/>
                <w:szCs w:val="20"/>
              </w:rPr>
              <w:t>3.412</w:t>
            </w:r>
          </w:p>
        </w:tc>
        <w:tc>
          <w:tcPr>
            <w:tcW w:w="1147" w:type="dxa"/>
            <w:shd w:val="clear" w:color="auto" w:fill="8EAADB" w:themeFill="accent1" w:themeFillTint="99"/>
          </w:tcPr>
          <w:p w14:paraId="65AEDFFB" w14:textId="77777777" w:rsidR="004D2742" w:rsidRPr="00BF0F2A" w:rsidRDefault="0062703E" w:rsidP="00BF0F2A">
            <w:pPr>
              <w:pStyle w:val="Sinespaciado"/>
              <w:rPr>
                <w:rFonts w:ascii="Verdana" w:hAnsi="Verdana"/>
                <w:color w:val="auto"/>
                <w:sz w:val="20"/>
                <w:szCs w:val="20"/>
              </w:rPr>
            </w:pPr>
            <w:r w:rsidRPr="00BF0F2A">
              <w:rPr>
                <w:rStyle w:val="Cuerpodeltexto2105ptoNegritaCursiva"/>
                <w:rFonts w:ascii="Verdana" w:eastAsia="Microsoft Sans Serif" w:hAnsi="Verdana" w:cs="Microsoft Sans Serif"/>
                <w:color w:val="auto"/>
                <w:sz w:val="20"/>
                <w:szCs w:val="20"/>
              </w:rPr>
              <w:t>4.245</w:t>
            </w:r>
          </w:p>
        </w:tc>
        <w:tc>
          <w:tcPr>
            <w:tcW w:w="1162" w:type="dxa"/>
            <w:shd w:val="clear" w:color="auto" w:fill="8EAADB" w:themeFill="accent1" w:themeFillTint="99"/>
          </w:tcPr>
          <w:p w14:paraId="00D38258" w14:textId="77777777" w:rsidR="004D2742" w:rsidRPr="00BF0F2A" w:rsidRDefault="0062703E" w:rsidP="00BF0F2A">
            <w:pPr>
              <w:pStyle w:val="Sinespaciado"/>
              <w:rPr>
                <w:rFonts w:ascii="Verdana" w:hAnsi="Verdana"/>
                <w:color w:val="auto"/>
                <w:sz w:val="20"/>
                <w:szCs w:val="20"/>
              </w:rPr>
            </w:pPr>
            <w:r w:rsidRPr="00BF0F2A">
              <w:rPr>
                <w:rStyle w:val="Cuerpodeltexto2105ptoNegritaCursiva"/>
                <w:rFonts w:ascii="Verdana" w:eastAsia="Microsoft Sans Serif" w:hAnsi="Verdana" w:cs="Microsoft Sans Serif"/>
                <w:color w:val="auto"/>
                <w:sz w:val="20"/>
                <w:szCs w:val="20"/>
              </w:rPr>
              <w:t>4.518</w:t>
            </w:r>
          </w:p>
        </w:tc>
      </w:tr>
      <w:tr w:rsidR="00BF0F2A" w:rsidRPr="00BF0F2A" w14:paraId="28DDBBD2" w14:textId="77777777" w:rsidTr="00BF0F2A">
        <w:trPr>
          <w:trHeight w:hRule="exact" w:val="298"/>
          <w:jc w:val="center"/>
        </w:trPr>
        <w:tc>
          <w:tcPr>
            <w:tcW w:w="5179" w:type="dxa"/>
            <w:shd w:val="clear" w:color="auto" w:fill="2F5496" w:themeFill="accent1" w:themeFillShade="BF"/>
          </w:tcPr>
          <w:p w14:paraId="15F7B374" w14:textId="77777777" w:rsidR="004D2742" w:rsidRPr="00BF0F2A" w:rsidRDefault="0062703E" w:rsidP="00BF0F2A">
            <w:pPr>
              <w:pStyle w:val="Sinespaciado"/>
              <w:rPr>
                <w:rFonts w:ascii="Verdana" w:hAnsi="Verdana"/>
                <w:color w:val="FFFFFF" w:themeColor="background1"/>
                <w:sz w:val="20"/>
                <w:szCs w:val="20"/>
              </w:rPr>
            </w:pPr>
            <w:r w:rsidRPr="00BF0F2A">
              <w:rPr>
                <w:rStyle w:val="Cuerpodeltexto2105ptoNegrita"/>
                <w:rFonts w:ascii="Verdana" w:eastAsia="Microsoft Sans Serif" w:hAnsi="Verdana" w:cs="Microsoft Sans Serif"/>
                <w:color w:val="FFFFFF" w:themeColor="background1"/>
                <w:sz w:val="20"/>
                <w:szCs w:val="20"/>
              </w:rPr>
              <w:t>Total Ley de IJS</w:t>
            </w:r>
          </w:p>
        </w:tc>
        <w:tc>
          <w:tcPr>
            <w:tcW w:w="1152" w:type="dxa"/>
            <w:shd w:val="clear" w:color="auto" w:fill="2F5496" w:themeFill="accent1" w:themeFillShade="BF"/>
          </w:tcPr>
          <w:p w14:paraId="5AAC1FB0" w14:textId="77777777" w:rsidR="004D2742" w:rsidRPr="00BF0F2A" w:rsidRDefault="0062703E" w:rsidP="00BF0F2A">
            <w:pPr>
              <w:pStyle w:val="Sinespaciado"/>
              <w:rPr>
                <w:rFonts w:ascii="Verdana" w:hAnsi="Verdana"/>
                <w:color w:val="FFFFFF" w:themeColor="background1"/>
                <w:sz w:val="20"/>
                <w:szCs w:val="20"/>
              </w:rPr>
            </w:pPr>
            <w:r w:rsidRPr="00BF0F2A">
              <w:rPr>
                <w:rStyle w:val="Cuerpodeltexto2105ptoNegrita"/>
                <w:rFonts w:ascii="Verdana" w:eastAsia="Microsoft Sans Serif" w:hAnsi="Verdana" w:cs="Microsoft Sans Serif"/>
                <w:color w:val="FFFFFF" w:themeColor="background1"/>
                <w:sz w:val="20"/>
                <w:szCs w:val="20"/>
              </w:rPr>
              <w:t>21.454</w:t>
            </w:r>
          </w:p>
        </w:tc>
        <w:tc>
          <w:tcPr>
            <w:tcW w:w="1147" w:type="dxa"/>
            <w:shd w:val="clear" w:color="auto" w:fill="2F5496" w:themeFill="accent1" w:themeFillShade="BF"/>
          </w:tcPr>
          <w:p w14:paraId="184885C5" w14:textId="77777777" w:rsidR="004D2742" w:rsidRPr="00BF0F2A" w:rsidRDefault="0062703E" w:rsidP="00BF0F2A">
            <w:pPr>
              <w:pStyle w:val="Sinespaciado"/>
              <w:rPr>
                <w:rFonts w:ascii="Verdana" w:hAnsi="Verdana"/>
                <w:color w:val="FFFFFF" w:themeColor="background1"/>
                <w:sz w:val="20"/>
                <w:szCs w:val="20"/>
              </w:rPr>
            </w:pPr>
            <w:r w:rsidRPr="00BF0F2A">
              <w:rPr>
                <w:rStyle w:val="Cuerpodeltexto2105ptoNegrita"/>
                <w:rFonts w:ascii="Verdana" w:eastAsia="Microsoft Sans Serif" w:hAnsi="Verdana" w:cs="Microsoft Sans Serif"/>
                <w:color w:val="FFFFFF" w:themeColor="background1"/>
                <w:sz w:val="20"/>
                <w:szCs w:val="20"/>
              </w:rPr>
              <w:t>22.745</w:t>
            </w:r>
          </w:p>
        </w:tc>
        <w:tc>
          <w:tcPr>
            <w:tcW w:w="1147" w:type="dxa"/>
            <w:shd w:val="clear" w:color="auto" w:fill="2F5496" w:themeFill="accent1" w:themeFillShade="BF"/>
          </w:tcPr>
          <w:p w14:paraId="3140A072" w14:textId="77777777" w:rsidR="004D2742" w:rsidRPr="00BF0F2A" w:rsidRDefault="0062703E" w:rsidP="00BF0F2A">
            <w:pPr>
              <w:pStyle w:val="Sinespaciado"/>
              <w:rPr>
                <w:rFonts w:ascii="Verdana" w:hAnsi="Verdana"/>
                <w:color w:val="FFFFFF" w:themeColor="background1"/>
                <w:sz w:val="20"/>
                <w:szCs w:val="20"/>
              </w:rPr>
            </w:pPr>
            <w:r w:rsidRPr="00BF0F2A">
              <w:rPr>
                <w:rStyle w:val="Cuerpodeltexto2105ptoNegrita"/>
                <w:rFonts w:ascii="Verdana" w:eastAsia="Microsoft Sans Serif" w:hAnsi="Verdana" w:cs="Microsoft Sans Serif"/>
                <w:color w:val="FFFFFF" w:themeColor="background1"/>
                <w:sz w:val="20"/>
                <w:szCs w:val="20"/>
              </w:rPr>
              <w:t>23.090</w:t>
            </w:r>
          </w:p>
        </w:tc>
        <w:tc>
          <w:tcPr>
            <w:tcW w:w="1162" w:type="dxa"/>
            <w:shd w:val="clear" w:color="auto" w:fill="2F5496" w:themeFill="accent1" w:themeFillShade="BF"/>
          </w:tcPr>
          <w:p w14:paraId="17581301" w14:textId="77777777" w:rsidR="004D2742" w:rsidRPr="00BF0F2A" w:rsidRDefault="0062703E" w:rsidP="00BF0F2A">
            <w:pPr>
              <w:pStyle w:val="Sinespaciado"/>
              <w:rPr>
                <w:rFonts w:ascii="Verdana" w:hAnsi="Verdana"/>
                <w:color w:val="FFFFFF" w:themeColor="background1"/>
                <w:sz w:val="20"/>
                <w:szCs w:val="20"/>
              </w:rPr>
            </w:pPr>
            <w:r w:rsidRPr="00BF0F2A">
              <w:rPr>
                <w:rStyle w:val="Cuerpodeltexto2105ptoNegrita"/>
                <w:rFonts w:ascii="Verdana" w:eastAsia="Microsoft Sans Serif" w:hAnsi="Verdana" w:cs="Microsoft Sans Serif"/>
                <w:color w:val="FFFFFF" w:themeColor="background1"/>
                <w:sz w:val="20"/>
                <w:szCs w:val="20"/>
              </w:rPr>
              <w:t>24.414</w:t>
            </w:r>
          </w:p>
        </w:tc>
      </w:tr>
    </w:tbl>
    <w:p w14:paraId="5D7B3271" w14:textId="77777777" w:rsidR="004D2742" w:rsidRPr="00BF0F2A" w:rsidRDefault="004D2742" w:rsidP="00BF0F2A">
      <w:pPr>
        <w:pStyle w:val="Sinespaciado"/>
        <w:jc w:val="both"/>
        <w:rPr>
          <w:rFonts w:ascii="Verdana" w:hAnsi="Verdana"/>
        </w:rPr>
      </w:pPr>
    </w:p>
    <w:p w14:paraId="0965FA38" w14:textId="6D2C30DC" w:rsidR="004D2742" w:rsidRPr="00BF0F2A" w:rsidRDefault="00BF0F2A" w:rsidP="00BF0F2A">
      <w:pPr>
        <w:pStyle w:val="Sinespaciado"/>
        <w:jc w:val="both"/>
        <w:rPr>
          <w:rFonts w:ascii="Verdana" w:hAnsi="Verdana"/>
        </w:rPr>
      </w:pPr>
      <w:r>
        <w:rPr>
          <w:rFonts w:ascii="Verdana" w:hAnsi="Verdana"/>
        </w:rPr>
        <w:t>(Fin)</w:t>
      </w:r>
    </w:p>
    <w:sectPr w:rsidR="004D2742" w:rsidRPr="00BF0F2A" w:rsidSect="00BF0F2A">
      <w:pgSz w:w="12240" w:h="15840" w:code="1"/>
      <w:pgMar w:top="1440" w:right="1440" w:bottom="1440" w:left="1440"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BD707" w14:textId="77777777" w:rsidR="0062703E" w:rsidRDefault="0062703E">
      <w:r>
        <w:separator/>
      </w:r>
    </w:p>
  </w:endnote>
  <w:endnote w:type="continuationSeparator" w:id="0">
    <w:p w14:paraId="77E9E8B3" w14:textId="77777777" w:rsidR="0062703E" w:rsidRDefault="0062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16C2F" w14:textId="77777777" w:rsidR="0062703E" w:rsidRDefault="0062703E"/>
  </w:footnote>
  <w:footnote w:type="continuationSeparator" w:id="0">
    <w:p w14:paraId="2D5712B8" w14:textId="77777777" w:rsidR="0062703E" w:rsidRDefault="006270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47D2C"/>
    <w:multiLevelType w:val="hybridMultilevel"/>
    <w:tmpl w:val="8B3ADB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5E30BD4"/>
    <w:multiLevelType w:val="multilevel"/>
    <w:tmpl w:val="CE5C344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42"/>
    <w:rsid w:val="004D2742"/>
    <w:rsid w:val="005260D6"/>
    <w:rsid w:val="0062703E"/>
    <w:rsid w:val="00906866"/>
    <w:rsid w:val="00BF0F2A"/>
    <w:rsid w:val="00C70F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A787"/>
  <w15:docId w15:val="{7D798214-C7D7-4D21-918A-3F9E1721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Ttulo12">
    <w:name w:val="Título #1 (2)_"/>
    <w:basedOn w:val="Fuentedeprrafopredeter"/>
    <w:link w:val="Ttulo120"/>
    <w:rPr>
      <w:rFonts w:ascii="Segoe UI" w:eastAsia="Segoe UI" w:hAnsi="Segoe UI" w:cs="Segoe UI"/>
      <w:b/>
      <w:bCs/>
      <w:i w:val="0"/>
      <w:iCs w:val="0"/>
      <w:smallCaps w:val="0"/>
      <w:strike w:val="0"/>
      <w:sz w:val="34"/>
      <w:szCs w:val="34"/>
      <w:u w:val="none"/>
    </w:rPr>
  </w:style>
  <w:style w:type="character" w:customStyle="1" w:styleId="Cuerpodeltexto4">
    <w:name w:val="Cuerpo del texto (4)_"/>
    <w:basedOn w:val="Fuentedeprrafopredeter"/>
    <w:link w:val="Cuerpodeltexto40"/>
    <w:rPr>
      <w:rFonts w:ascii="Segoe UI" w:eastAsia="Segoe UI" w:hAnsi="Segoe UI" w:cs="Segoe UI"/>
      <w:b w:val="0"/>
      <w:bCs w:val="0"/>
      <w:i w:val="0"/>
      <w:iCs w:val="0"/>
      <w:smallCaps w:val="0"/>
      <w:strike w:val="0"/>
      <w:sz w:val="21"/>
      <w:szCs w:val="21"/>
      <w:u w:val="none"/>
    </w:rPr>
  </w:style>
  <w:style w:type="character" w:customStyle="1" w:styleId="Cuerpodeltexto41">
    <w:name w:val="Cuerpo del texto (4)"/>
    <w:basedOn w:val="Cuerpodeltexto4"/>
    <w:rPr>
      <w:rFonts w:ascii="Segoe UI" w:eastAsia="Segoe UI" w:hAnsi="Segoe UI" w:cs="Segoe UI"/>
      <w:b w:val="0"/>
      <w:bCs w:val="0"/>
      <w:i w:val="0"/>
      <w:iCs w:val="0"/>
      <w:smallCaps w:val="0"/>
      <w:strike w:val="0"/>
      <w:color w:val="000000"/>
      <w:spacing w:val="0"/>
      <w:w w:val="100"/>
      <w:position w:val="0"/>
      <w:sz w:val="21"/>
      <w:szCs w:val="21"/>
      <w:u w:val="none"/>
      <w:lang w:val="es-ES" w:eastAsia="es-ES" w:bidi="es-ES"/>
    </w:rPr>
  </w:style>
  <w:style w:type="character" w:customStyle="1" w:styleId="Cuerpodeltexto2">
    <w:name w:val="Cuerpo del texto (2)_"/>
    <w:basedOn w:val="Fuentedeprrafopredeter"/>
    <w:link w:val="Cuerpodeltexto20"/>
    <w:rPr>
      <w:rFonts w:ascii="Segoe UI" w:eastAsia="Segoe UI" w:hAnsi="Segoe UI" w:cs="Segoe UI"/>
      <w:b w:val="0"/>
      <w:bCs w:val="0"/>
      <w:i w:val="0"/>
      <w:iCs w:val="0"/>
      <w:smallCaps w:val="0"/>
      <w:strike w:val="0"/>
      <w:sz w:val="22"/>
      <w:szCs w:val="22"/>
      <w:u w:val="none"/>
    </w:rPr>
  </w:style>
  <w:style w:type="character" w:customStyle="1" w:styleId="Cuerpodeltexto2115ptoNegrita">
    <w:name w:val="Cuerpo del texto (2) + 11;5 pto;Negrita"/>
    <w:basedOn w:val="Cuerpodeltexto2"/>
    <w:rPr>
      <w:rFonts w:ascii="Segoe UI" w:eastAsia="Segoe UI" w:hAnsi="Segoe UI" w:cs="Segoe UI"/>
      <w:b/>
      <w:bCs/>
      <w:i w:val="0"/>
      <w:iCs w:val="0"/>
      <w:smallCaps w:val="0"/>
      <w:strike w:val="0"/>
      <w:color w:val="000000"/>
      <w:spacing w:val="0"/>
      <w:w w:val="100"/>
      <w:position w:val="0"/>
      <w:sz w:val="23"/>
      <w:szCs w:val="23"/>
      <w:u w:val="none"/>
      <w:lang w:val="es-ES" w:eastAsia="es-ES" w:bidi="es-ES"/>
    </w:rPr>
  </w:style>
  <w:style w:type="character" w:customStyle="1" w:styleId="Cuerpodeltexto2Espaciado-1pto">
    <w:name w:val="Cuerpo del texto (2) + Espaciado -1 pto"/>
    <w:basedOn w:val="Cuerpodeltexto2"/>
    <w:rPr>
      <w:rFonts w:ascii="Segoe UI" w:eastAsia="Segoe UI" w:hAnsi="Segoe UI" w:cs="Segoe UI"/>
      <w:b w:val="0"/>
      <w:bCs w:val="0"/>
      <w:i w:val="0"/>
      <w:iCs w:val="0"/>
      <w:smallCaps w:val="0"/>
      <w:strike w:val="0"/>
      <w:color w:val="000000"/>
      <w:spacing w:val="-20"/>
      <w:w w:val="100"/>
      <w:position w:val="0"/>
      <w:sz w:val="22"/>
      <w:szCs w:val="22"/>
      <w:u w:val="none"/>
      <w:lang w:val="es-ES" w:eastAsia="es-ES" w:bidi="es-ES"/>
    </w:rPr>
  </w:style>
  <w:style w:type="character" w:customStyle="1" w:styleId="Cuerpodeltexto3">
    <w:name w:val="Cuerpo del texto (3)_"/>
    <w:basedOn w:val="Fuentedeprrafopredeter"/>
    <w:link w:val="Cuerpodeltexto30"/>
    <w:rPr>
      <w:rFonts w:ascii="Segoe UI" w:eastAsia="Segoe UI" w:hAnsi="Segoe UI" w:cs="Segoe UI"/>
      <w:b w:val="0"/>
      <w:bCs w:val="0"/>
      <w:i w:val="0"/>
      <w:iCs w:val="0"/>
      <w:smallCaps w:val="0"/>
      <w:strike w:val="0"/>
      <w:sz w:val="21"/>
      <w:szCs w:val="21"/>
      <w:u w:val="none"/>
    </w:rPr>
  </w:style>
  <w:style w:type="character" w:customStyle="1" w:styleId="Cuerpodeltexto3115ptoNegrita">
    <w:name w:val="Cuerpo del texto (3) + 11;5 pto;Negrita"/>
    <w:basedOn w:val="Cuerpodeltexto3"/>
    <w:rPr>
      <w:rFonts w:ascii="Segoe UI" w:eastAsia="Segoe UI" w:hAnsi="Segoe UI" w:cs="Segoe UI"/>
      <w:b/>
      <w:bCs/>
      <w:i w:val="0"/>
      <w:iCs w:val="0"/>
      <w:smallCaps w:val="0"/>
      <w:strike w:val="0"/>
      <w:color w:val="000000"/>
      <w:spacing w:val="0"/>
      <w:w w:val="100"/>
      <w:position w:val="0"/>
      <w:sz w:val="23"/>
      <w:szCs w:val="23"/>
      <w:u w:val="none"/>
      <w:lang w:val="es-ES" w:eastAsia="es-ES" w:bidi="es-ES"/>
    </w:rPr>
  </w:style>
  <w:style w:type="character" w:customStyle="1" w:styleId="Cuerpodeltexto2105ptoNegrita">
    <w:name w:val="Cuerpo del texto (2) + 10;5 pto;Negrita"/>
    <w:basedOn w:val="Cuerpodeltexto2"/>
    <w:rPr>
      <w:rFonts w:ascii="Segoe UI" w:eastAsia="Segoe UI" w:hAnsi="Segoe UI" w:cs="Segoe UI"/>
      <w:b/>
      <w:bCs/>
      <w:i w:val="0"/>
      <w:iCs w:val="0"/>
      <w:smallCaps w:val="0"/>
      <w:strike w:val="0"/>
      <w:color w:val="FFFFFF"/>
      <w:spacing w:val="0"/>
      <w:w w:val="100"/>
      <w:position w:val="0"/>
      <w:sz w:val="21"/>
      <w:szCs w:val="21"/>
      <w:u w:val="none"/>
      <w:lang w:val="es-ES" w:eastAsia="es-ES" w:bidi="es-ES"/>
    </w:rPr>
  </w:style>
  <w:style w:type="character" w:customStyle="1" w:styleId="Cuerpodeltexto2105ptoNegritaCursiva">
    <w:name w:val="Cuerpo del texto (2) + 10;5 pto;Negrita;Cursiva"/>
    <w:basedOn w:val="Cuerpodeltexto2"/>
    <w:rPr>
      <w:rFonts w:ascii="Segoe UI" w:eastAsia="Segoe UI" w:hAnsi="Segoe UI" w:cs="Segoe UI"/>
      <w:b/>
      <w:bCs/>
      <w:i/>
      <w:iCs/>
      <w:smallCaps w:val="0"/>
      <w:strike w:val="0"/>
      <w:color w:val="000000"/>
      <w:spacing w:val="0"/>
      <w:w w:val="100"/>
      <w:position w:val="0"/>
      <w:sz w:val="21"/>
      <w:szCs w:val="21"/>
      <w:u w:val="none"/>
      <w:lang w:val="es-ES" w:eastAsia="es-ES" w:bidi="es-ES"/>
    </w:rPr>
  </w:style>
  <w:style w:type="character" w:customStyle="1" w:styleId="Cuerpodeltexto2Arial105pto">
    <w:name w:val="Cuerpo del texto (2) + Arial;10;5 pto"/>
    <w:basedOn w:val="Cuerpodeltexto2"/>
    <w:rPr>
      <w:rFonts w:ascii="Arial" w:eastAsia="Arial" w:hAnsi="Arial" w:cs="Arial"/>
      <w:b w:val="0"/>
      <w:bCs w:val="0"/>
      <w:i w:val="0"/>
      <w:iCs w:val="0"/>
      <w:smallCaps w:val="0"/>
      <w:strike w:val="0"/>
      <w:color w:val="000000"/>
      <w:spacing w:val="0"/>
      <w:w w:val="100"/>
      <w:position w:val="0"/>
      <w:sz w:val="21"/>
      <w:szCs w:val="21"/>
      <w:u w:val="none"/>
      <w:lang w:val="es-ES" w:eastAsia="es-ES" w:bidi="es-ES"/>
    </w:rPr>
  </w:style>
  <w:style w:type="character" w:customStyle="1" w:styleId="Cuerpodeltexto2105ptoCursiva">
    <w:name w:val="Cuerpo del texto (2) + 10;5 pto;Cursiva"/>
    <w:basedOn w:val="Cuerpodeltexto2"/>
    <w:rPr>
      <w:rFonts w:ascii="Segoe UI" w:eastAsia="Segoe UI" w:hAnsi="Segoe UI" w:cs="Segoe UI"/>
      <w:b w:val="0"/>
      <w:bCs w:val="0"/>
      <w:i/>
      <w:iCs/>
      <w:smallCaps w:val="0"/>
      <w:strike w:val="0"/>
      <w:color w:val="000000"/>
      <w:spacing w:val="0"/>
      <w:w w:val="100"/>
      <w:position w:val="0"/>
      <w:sz w:val="21"/>
      <w:szCs w:val="21"/>
      <w:u w:val="none"/>
      <w:lang w:val="es-ES" w:eastAsia="es-ES" w:bidi="es-ES"/>
    </w:rPr>
  </w:style>
  <w:style w:type="paragraph" w:customStyle="1" w:styleId="Ttulo120">
    <w:name w:val="Título #1 (2)"/>
    <w:basedOn w:val="Normal"/>
    <w:link w:val="Ttulo12"/>
    <w:pPr>
      <w:shd w:val="clear" w:color="auto" w:fill="FFFFFF"/>
      <w:spacing w:after="420" w:line="475" w:lineRule="exact"/>
      <w:outlineLvl w:val="0"/>
    </w:pPr>
    <w:rPr>
      <w:rFonts w:ascii="Segoe UI" w:eastAsia="Segoe UI" w:hAnsi="Segoe UI" w:cs="Segoe UI"/>
      <w:b/>
      <w:bCs/>
      <w:sz w:val="34"/>
      <w:szCs w:val="34"/>
    </w:rPr>
  </w:style>
  <w:style w:type="paragraph" w:customStyle="1" w:styleId="Cuerpodeltexto40">
    <w:name w:val="Cuerpo del texto (4)"/>
    <w:basedOn w:val="Normal"/>
    <w:link w:val="Cuerpodeltexto4"/>
    <w:pPr>
      <w:shd w:val="clear" w:color="auto" w:fill="FFFFFF"/>
      <w:spacing w:before="420" w:line="326" w:lineRule="exact"/>
      <w:ind w:hanging="360"/>
    </w:pPr>
    <w:rPr>
      <w:rFonts w:ascii="Segoe UI" w:eastAsia="Segoe UI" w:hAnsi="Segoe UI" w:cs="Segoe UI"/>
      <w:sz w:val="21"/>
      <w:szCs w:val="21"/>
    </w:rPr>
  </w:style>
  <w:style w:type="paragraph" w:customStyle="1" w:styleId="Cuerpodeltexto20">
    <w:name w:val="Cuerpo del texto (2)"/>
    <w:basedOn w:val="Normal"/>
    <w:link w:val="Cuerpodeltexto2"/>
    <w:pPr>
      <w:shd w:val="clear" w:color="auto" w:fill="FFFFFF"/>
      <w:spacing w:before="420" w:after="420" w:line="355" w:lineRule="exact"/>
    </w:pPr>
    <w:rPr>
      <w:rFonts w:ascii="Segoe UI" w:eastAsia="Segoe UI" w:hAnsi="Segoe UI" w:cs="Segoe UI"/>
      <w:sz w:val="22"/>
      <w:szCs w:val="22"/>
    </w:rPr>
  </w:style>
  <w:style w:type="paragraph" w:customStyle="1" w:styleId="Cuerpodeltexto30">
    <w:name w:val="Cuerpo del texto (3)"/>
    <w:basedOn w:val="Normal"/>
    <w:link w:val="Cuerpodeltexto3"/>
    <w:pPr>
      <w:shd w:val="clear" w:color="auto" w:fill="FFFFFF"/>
      <w:spacing w:before="420" w:line="326" w:lineRule="exact"/>
      <w:ind w:hanging="360"/>
    </w:pPr>
    <w:rPr>
      <w:rFonts w:ascii="Segoe UI" w:eastAsia="Segoe UI" w:hAnsi="Segoe UI" w:cs="Segoe UI"/>
      <w:sz w:val="21"/>
      <w:szCs w:val="21"/>
    </w:rPr>
  </w:style>
  <w:style w:type="paragraph" w:styleId="Sinespaciado">
    <w:name w:val="No Spacing"/>
    <w:uiPriority w:val="1"/>
    <w:qFormat/>
    <w:rsid w:val="00BF0F2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3881</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yurriago</dc:creator>
  <cp:keywords/>
  <cp:lastModifiedBy>Microsoft Office User</cp:lastModifiedBy>
  <cp:revision>2</cp:revision>
  <dcterms:created xsi:type="dcterms:W3CDTF">2022-10-10T17:26:00Z</dcterms:created>
  <dcterms:modified xsi:type="dcterms:W3CDTF">2022-10-10T17:26:00Z</dcterms:modified>
</cp:coreProperties>
</file>