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6D1B" w14:textId="78C77ED3" w:rsidR="00E538A2" w:rsidRPr="00E538A2" w:rsidRDefault="00E538A2" w:rsidP="00E538A2">
      <w:pPr>
        <w:pStyle w:val="Sinespaciado"/>
        <w:jc w:val="both"/>
        <w:rPr>
          <w:rFonts w:ascii="Verdana" w:hAnsi="Verdana"/>
          <w:b/>
          <w:bCs/>
        </w:rPr>
      </w:pPr>
      <w:bookmarkStart w:id="0" w:name="_GoBack"/>
      <w:bookmarkEnd w:id="0"/>
      <w:r w:rsidRPr="00E538A2">
        <w:rPr>
          <w:rFonts w:ascii="Verdana" w:hAnsi="Verdana"/>
          <w:b/>
          <w:bCs/>
        </w:rPr>
        <w:t>CONCEPTO 436 DEL 24 DE AGOSTO DE 2022</w:t>
      </w:r>
    </w:p>
    <w:p w14:paraId="18595E6A" w14:textId="16DD2C85" w:rsidR="00E538A2" w:rsidRDefault="00E538A2" w:rsidP="00E538A2">
      <w:pPr>
        <w:pStyle w:val="Sinespaciado"/>
        <w:jc w:val="both"/>
        <w:rPr>
          <w:rFonts w:ascii="Verdana" w:hAnsi="Verdana"/>
          <w:b/>
          <w:bCs/>
        </w:rPr>
      </w:pPr>
      <w:r w:rsidRPr="00E538A2">
        <w:rPr>
          <w:rFonts w:ascii="Verdana" w:hAnsi="Verdana"/>
          <w:b/>
          <w:bCs/>
        </w:rPr>
        <w:t>CONSEJO TÉCNICO DE LA CONTADURÍA PÚBLICA</w:t>
      </w:r>
    </w:p>
    <w:p w14:paraId="3E01A343" w14:textId="5FE11CFA" w:rsidR="00E538A2" w:rsidRDefault="00E538A2" w:rsidP="00E538A2">
      <w:pPr>
        <w:pStyle w:val="Sinespaciado"/>
        <w:jc w:val="both"/>
        <w:rPr>
          <w:rFonts w:ascii="Verdana" w:hAnsi="Verdana"/>
          <w:b/>
          <w:bCs/>
        </w:rPr>
      </w:pPr>
    </w:p>
    <w:p w14:paraId="329AA03C" w14:textId="77777777" w:rsidR="00E538A2" w:rsidRDefault="00E538A2" w:rsidP="00E538A2">
      <w:pPr>
        <w:pStyle w:val="Sinespaciado"/>
        <w:jc w:val="both"/>
        <w:rPr>
          <w:rFonts w:ascii="Verdana" w:hAnsi="Verdana"/>
        </w:rPr>
      </w:pPr>
      <w:r w:rsidRPr="00E538A2">
        <w:rPr>
          <w:rFonts w:ascii="Verdana" w:hAnsi="Verdana"/>
        </w:rPr>
        <w:t>Bogotá, D.C.</w:t>
      </w:r>
    </w:p>
    <w:p w14:paraId="6F950747" w14:textId="77777777" w:rsidR="00E538A2" w:rsidRDefault="00E538A2" w:rsidP="00E538A2">
      <w:pPr>
        <w:pStyle w:val="Sinespaciado"/>
        <w:jc w:val="both"/>
        <w:rPr>
          <w:rFonts w:ascii="Verdana" w:hAnsi="Verdana"/>
        </w:rPr>
      </w:pPr>
    </w:p>
    <w:p w14:paraId="67E8DEE9" w14:textId="13340F05" w:rsidR="006E4F35" w:rsidRPr="00E538A2" w:rsidRDefault="002D7BBB" w:rsidP="00E538A2">
      <w:pPr>
        <w:pStyle w:val="Sinespaciado"/>
        <w:jc w:val="both"/>
        <w:rPr>
          <w:rFonts w:ascii="Verdana" w:hAnsi="Verdana"/>
        </w:rPr>
      </w:pPr>
      <w:r w:rsidRPr="00E538A2">
        <w:rPr>
          <w:rFonts w:ascii="Verdana" w:hAnsi="Verdana"/>
          <w:b/>
          <w:bCs/>
        </w:rPr>
        <w:t>No. del Radicado</w:t>
      </w:r>
      <w:r w:rsidR="00E538A2">
        <w:rPr>
          <w:rFonts w:ascii="Verdana" w:hAnsi="Verdana"/>
          <w:b/>
          <w:bCs/>
        </w:rPr>
        <w:tab/>
      </w:r>
      <w:r w:rsidR="00E538A2">
        <w:rPr>
          <w:rFonts w:ascii="Verdana" w:hAnsi="Verdana"/>
          <w:b/>
          <w:bCs/>
        </w:rPr>
        <w:tab/>
      </w:r>
      <w:r w:rsidRPr="00E538A2">
        <w:rPr>
          <w:rFonts w:ascii="Verdana" w:hAnsi="Verdana"/>
        </w:rPr>
        <w:t>1-2022-024861</w:t>
      </w:r>
    </w:p>
    <w:p w14:paraId="6BBC71D3" w14:textId="50A4C2CE" w:rsidR="006E4F35" w:rsidRPr="00E538A2" w:rsidRDefault="002D7BBB" w:rsidP="00E538A2">
      <w:pPr>
        <w:pStyle w:val="Sinespaciado"/>
        <w:jc w:val="both"/>
        <w:rPr>
          <w:rFonts w:ascii="Verdana" w:hAnsi="Verdana"/>
        </w:rPr>
      </w:pPr>
      <w:r w:rsidRPr="00E538A2">
        <w:rPr>
          <w:rFonts w:ascii="Verdana" w:hAnsi="Verdana"/>
          <w:b/>
          <w:bCs/>
        </w:rPr>
        <w:t>Fecha de Radicado</w:t>
      </w:r>
      <w:r w:rsidR="00E538A2">
        <w:rPr>
          <w:rFonts w:ascii="Verdana" w:hAnsi="Verdana"/>
          <w:b/>
          <w:bCs/>
        </w:rPr>
        <w:tab/>
      </w:r>
      <w:r w:rsidR="00E538A2">
        <w:rPr>
          <w:rFonts w:ascii="Verdana" w:hAnsi="Verdana"/>
          <w:b/>
          <w:bCs/>
        </w:rPr>
        <w:tab/>
      </w:r>
      <w:r w:rsidRPr="00E538A2">
        <w:rPr>
          <w:rFonts w:ascii="Verdana" w:hAnsi="Verdana"/>
        </w:rPr>
        <w:t>24</w:t>
      </w:r>
      <w:r w:rsidR="00E538A2">
        <w:rPr>
          <w:rFonts w:ascii="Verdana" w:hAnsi="Verdana"/>
        </w:rPr>
        <w:t xml:space="preserve"> </w:t>
      </w:r>
      <w:r w:rsidRPr="00E538A2">
        <w:rPr>
          <w:rFonts w:ascii="Verdana" w:hAnsi="Verdana"/>
        </w:rPr>
        <w:t>de</w:t>
      </w:r>
      <w:r w:rsidR="00E538A2">
        <w:rPr>
          <w:rFonts w:ascii="Verdana" w:hAnsi="Verdana"/>
        </w:rPr>
        <w:t xml:space="preserve"> </w:t>
      </w:r>
      <w:r w:rsidRPr="00E538A2">
        <w:rPr>
          <w:rFonts w:ascii="Verdana" w:hAnsi="Verdana"/>
        </w:rPr>
        <w:t>agosto</w:t>
      </w:r>
      <w:r w:rsidR="00E538A2">
        <w:rPr>
          <w:rFonts w:ascii="Verdana" w:hAnsi="Verdana"/>
        </w:rPr>
        <w:t xml:space="preserve"> </w:t>
      </w:r>
      <w:r w:rsidRPr="00E538A2">
        <w:rPr>
          <w:rFonts w:ascii="Verdana" w:hAnsi="Verdana"/>
        </w:rPr>
        <w:t>de</w:t>
      </w:r>
      <w:r w:rsidR="00E538A2">
        <w:rPr>
          <w:rFonts w:ascii="Verdana" w:hAnsi="Verdana"/>
        </w:rPr>
        <w:t xml:space="preserve"> </w:t>
      </w:r>
      <w:r w:rsidRPr="00E538A2">
        <w:rPr>
          <w:rFonts w:ascii="Verdana" w:hAnsi="Verdana"/>
        </w:rPr>
        <w:t>2022</w:t>
      </w:r>
    </w:p>
    <w:p w14:paraId="37679C0C" w14:textId="2D6FC02C" w:rsidR="006E4F35" w:rsidRPr="00E538A2" w:rsidRDefault="002D7BBB" w:rsidP="00E538A2">
      <w:pPr>
        <w:pStyle w:val="Sinespaciado"/>
        <w:jc w:val="both"/>
        <w:rPr>
          <w:rFonts w:ascii="Verdana" w:hAnsi="Verdana"/>
        </w:rPr>
      </w:pPr>
      <w:r w:rsidRPr="00E538A2">
        <w:rPr>
          <w:rFonts w:ascii="Verdana" w:hAnsi="Verdana"/>
          <w:b/>
          <w:bCs/>
        </w:rPr>
        <w:t>N° de Radicación CTCP</w:t>
      </w:r>
      <w:r w:rsidR="00E538A2">
        <w:rPr>
          <w:rFonts w:ascii="Verdana" w:hAnsi="Verdana"/>
          <w:b/>
          <w:bCs/>
        </w:rPr>
        <w:tab/>
      </w:r>
      <w:r w:rsidRPr="00E538A2">
        <w:rPr>
          <w:rFonts w:ascii="Verdana" w:hAnsi="Verdana"/>
        </w:rPr>
        <w:t>2022-0436</w:t>
      </w:r>
    </w:p>
    <w:p w14:paraId="1CDA3D85" w14:textId="39E7FF7A" w:rsidR="006E4F35" w:rsidRPr="00E538A2" w:rsidRDefault="002D7BBB" w:rsidP="00E538A2">
      <w:pPr>
        <w:pStyle w:val="Sinespaciado"/>
        <w:ind w:left="3540" w:hanging="3540"/>
        <w:jc w:val="both"/>
        <w:rPr>
          <w:rFonts w:ascii="Verdana" w:hAnsi="Verdana"/>
          <w:b/>
          <w:bCs/>
        </w:rPr>
      </w:pPr>
      <w:r w:rsidRPr="00E538A2">
        <w:rPr>
          <w:rStyle w:val="Cuerpodeltexto71"/>
          <w:rFonts w:ascii="Verdana" w:hAnsi="Verdana"/>
          <w:sz w:val="24"/>
          <w:szCs w:val="24"/>
          <w:u w:val="none"/>
        </w:rPr>
        <w:t>Tema</w:t>
      </w:r>
      <w:r w:rsidR="00E538A2">
        <w:rPr>
          <w:rStyle w:val="Cuerpodeltexto71"/>
          <w:rFonts w:ascii="Verdana" w:hAnsi="Verdana"/>
          <w:sz w:val="24"/>
          <w:szCs w:val="24"/>
          <w:u w:val="none"/>
        </w:rPr>
        <w:tab/>
      </w:r>
      <w:r w:rsidRPr="00E538A2">
        <w:rPr>
          <w:rStyle w:val="Cuerpodeltexto71"/>
          <w:rFonts w:ascii="Verdana" w:hAnsi="Verdana"/>
          <w:b w:val="0"/>
          <w:bCs w:val="0"/>
          <w:sz w:val="24"/>
          <w:szCs w:val="24"/>
          <w:u w:val="none"/>
        </w:rPr>
        <w:t>Reconocimiento</w:t>
      </w:r>
      <w:r w:rsidRPr="00E538A2">
        <w:rPr>
          <w:rStyle w:val="Cuerpodeltexto71"/>
          <w:rFonts w:ascii="Verdana" w:hAnsi="Verdana"/>
          <w:b w:val="0"/>
          <w:bCs w:val="0"/>
          <w:sz w:val="24"/>
          <w:szCs w:val="24"/>
          <w:u w:val="none"/>
        </w:rPr>
        <w:tab/>
        <w:t>del ingreso - Profesiones liberales</w:t>
      </w:r>
    </w:p>
    <w:p w14:paraId="7B76E3E4" w14:textId="77777777" w:rsidR="006E4F35" w:rsidRPr="00E538A2" w:rsidRDefault="002D7BBB" w:rsidP="00E538A2">
      <w:pPr>
        <w:pStyle w:val="Sinespaciado"/>
        <w:jc w:val="both"/>
        <w:rPr>
          <w:rFonts w:ascii="Verdana" w:hAnsi="Verdana"/>
          <w:b/>
          <w:bCs/>
        </w:rPr>
      </w:pPr>
      <w:r w:rsidRPr="00E538A2">
        <w:rPr>
          <w:rFonts w:ascii="Verdana" w:hAnsi="Verdana"/>
          <w:b/>
          <w:bCs/>
        </w:rPr>
        <w:t>CONSULTA (TEXTUAL)</w:t>
      </w:r>
    </w:p>
    <w:p w14:paraId="13C74858" w14:textId="77777777" w:rsidR="00E538A2" w:rsidRDefault="00E538A2" w:rsidP="00E538A2">
      <w:pPr>
        <w:pStyle w:val="Sinespaciado"/>
        <w:jc w:val="both"/>
        <w:rPr>
          <w:rFonts w:ascii="Verdana" w:hAnsi="Verdana"/>
        </w:rPr>
      </w:pPr>
    </w:p>
    <w:p w14:paraId="1B119419" w14:textId="1440C4B6" w:rsidR="006E4F35" w:rsidRPr="00E538A2" w:rsidRDefault="002D7BBB" w:rsidP="00E538A2">
      <w:pPr>
        <w:pStyle w:val="Sinespaciado"/>
        <w:jc w:val="both"/>
        <w:rPr>
          <w:rFonts w:ascii="Verdana" w:hAnsi="Verdana"/>
          <w:i/>
          <w:iCs/>
          <w:sz w:val="22"/>
          <w:szCs w:val="22"/>
        </w:rPr>
      </w:pPr>
      <w:r w:rsidRPr="00E538A2">
        <w:rPr>
          <w:rFonts w:ascii="Verdana" w:hAnsi="Verdana"/>
          <w:i/>
          <w:iCs/>
          <w:sz w:val="22"/>
          <w:szCs w:val="22"/>
        </w:rPr>
        <w:t>“(...)</w:t>
      </w:r>
    </w:p>
    <w:p w14:paraId="0C6B36B6" w14:textId="77777777" w:rsidR="006E4F35" w:rsidRPr="00E538A2" w:rsidRDefault="002D7BBB" w:rsidP="00E538A2">
      <w:pPr>
        <w:pStyle w:val="Sinespaciado"/>
        <w:jc w:val="both"/>
        <w:rPr>
          <w:rFonts w:ascii="Verdana" w:hAnsi="Verdana"/>
          <w:i/>
          <w:iCs/>
          <w:sz w:val="22"/>
          <w:szCs w:val="22"/>
        </w:rPr>
      </w:pPr>
      <w:r w:rsidRPr="00E538A2">
        <w:rPr>
          <w:rFonts w:ascii="Verdana" w:hAnsi="Verdana"/>
          <w:i/>
          <w:iCs/>
          <w:sz w:val="22"/>
          <w:szCs w:val="22"/>
        </w:rPr>
        <w:t>En su condición de máximo rector de las ciencias contables en Colombia</w:t>
      </w:r>
      <w:r w:rsidRPr="00E538A2">
        <w:rPr>
          <w:rStyle w:val="Cuerpodeltexto3Sincursiva"/>
          <w:rFonts w:ascii="Verdana" w:hAnsi="Verdana"/>
          <w:i w:val="0"/>
          <w:iCs w:val="0"/>
          <w:sz w:val="22"/>
          <w:szCs w:val="22"/>
        </w:rPr>
        <w:t xml:space="preserve"> </w:t>
      </w:r>
      <w:r w:rsidRPr="00E538A2">
        <w:rPr>
          <w:rStyle w:val="Cuerpodeltexto3Sincursiva"/>
          <w:rFonts w:ascii="Verdana" w:hAnsi="Verdana"/>
          <w:sz w:val="22"/>
          <w:szCs w:val="22"/>
        </w:rPr>
        <w:t>y</w:t>
      </w:r>
      <w:r w:rsidRPr="00E538A2">
        <w:rPr>
          <w:rStyle w:val="Cuerpodeltexto3Sincursiva"/>
          <w:rFonts w:ascii="Verdana" w:hAnsi="Verdana"/>
          <w:i w:val="0"/>
          <w:iCs w:val="0"/>
          <w:sz w:val="22"/>
          <w:szCs w:val="22"/>
        </w:rPr>
        <w:t xml:space="preserve"> </w:t>
      </w:r>
      <w:r w:rsidRPr="00E538A2">
        <w:rPr>
          <w:rFonts w:ascii="Verdana" w:hAnsi="Verdana"/>
          <w:i/>
          <w:iCs/>
          <w:sz w:val="22"/>
          <w:szCs w:val="22"/>
        </w:rPr>
        <w:t xml:space="preserve">en ejercicio del derecho de petición, me permito respetuosamente solicitar la siguiente consulta, ¿Cuál sería el reconocimiento contable adecuado por parte </w:t>
      </w:r>
      <w:r w:rsidRPr="00E538A2">
        <w:rPr>
          <w:rFonts w:ascii="Verdana" w:hAnsi="Verdana"/>
          <w:i/>
          <w:iCs/>
          <w:sz w:val="22"/>
          <w:szCs w:val="22"/>
        </w:rPr>
        <w:t>de una persona natural para registrar cuentas por cobrar e ingresos, en los siguientes casos:</w:t>
      </w:r>
    </w:p>
    <w:p w14:paraId="50EF2F82" w14:textId="77777777" w:rsidR="00124F13" w:rsidRDefault="00124F13" w:rsidP="00E538A2">
      <w:pPr>
        <w:pStyle w:val="Sinespaciado"/>
        <w:jc w:val="both"/>
        <w:rPr>
          <w:rFonts w:ascii="Verdana" w:hAnsi="Verdana"/>
          <w:i/>
          <w:iCs/>
          <w:sz w:val="22"/>
          <w:szCs w:val="22"/>
        </w:rPr>
      </w:pPr>
    </w:p>
    <w:p w14:paraId="71BAEF83"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¿Las</w:t>
      </w:r>
      <w:r w:rsidR="00124F13" w:rsidRPr="00124F13">
        <w:rPr>
          <w:rFonts w:ascii="Verdana" w:hAnsi="Verdana"/>
          <w:i/>
          <w:iCs/>
          <w:sz w:val="22"/>
          <w:szCs w:val="22"/>
        </w:rPr>
        <w:t xml:space="preserve"> </w:t>
      </w:r>
      <w:r w:rsidRPr="00124F13">
        <w:rPr>
          <w:rFonts w:ascii="Verdana" w:hAnsi="Verdana"/>
          <w:i/>
          <w:iCs/>
          <w:sz w:val="22"/>
          <w:szCs w:val="22"/>
        </w:rPr>
        <w:t>profesiones</w:t>
      </w:r>
      <w:r w:rsidR="00124F13" w:rsidRPr="00124F13">
        <w:rPr>
          <w:rFonts w:ascii="Verdana" w:hAnsi="Verdana"/>
          <w:i/>
          <w:iCs/>
          <w:sz w:val="22"/>
          <w:szCs w:val="22"/>
        </w:rPr>
        <w:t xml:space="preserve"> </w:t>
      </w:r>
      <w:r w:rsidRPr="00124F13">
        <w:rPr>
          <w:rFonts w:ascii="Verdana" w:hAnsi="Verdana"/>
          <w:i/>
          <w:iCs/>
          <w:sz w:val="22"/>
          <w:szCs w:val="22"/>
        </w:rPr>
        <w:t>liberales</w:t>
      </w:r>
      <w:r w:rsidR="00124F13" w:rsidRPr="00124F13">
        <w:rPr>
          <w:rFonts w:ascii="Verdana" w:hAnsi="Verdana"/>
          <w:i/>
          <w:iCs/>
          <w:sz w:val="22"/>
          <w:szCs w:val="22"/>
        </w:rPr>
        <w:t xml:space="preserve"> </w:t>
      </w:r>
      <w:r w:rsidRPr="00124F13">
        <w:rPr>
          <w:rFonts w:ascii="Verdana" w:hAnsi="Verdana"/>
          <w:i/>
          <w:iCs/>
          <w:sz w:val="22"/>
          <w:szCs w:val="22"/>
        </w:rPr>
        <w:t>tales</w:t>
      </w:r>
      <w:r w:rsidR="00124F13" w:rsidRPr="00124F13">
        <w:rPr>
          <w:rFonts w:ascii="Verdana" w:hAnsi="Verdana"/>
          <w:i/>
          <w:iCs/>
          <w:sz w:val="22"/>
          <w:szCs w:val="22"/>
        </w:rPr>
        <w:t xml:space="preserve"> </w:t>
      </w:r>
      <w:r w:rsidRPr="00124F13">
        <w:rPr>
          <w:rFonts w:ascii="Verdana" w:hAnsi="Verdana"/>
          <w:i/>
          <w:iCs/>
          <w:sz w:val="22"/>
          <w:szCs w:val="22"/>
        </w:rPr>
        <w:t>como</w:t>
      </w:r>
      <w:r w:rsidR="00124F13" w:rsidRPr="00124F13">
        <w:rPr>
          <w:rFonts w:ascii="Verdana" w:hAnsi="Verdana"/>
          <w:i/>
          <w:iCs/>
          <w:sz w:val="22"/>
          <w:szCs w:val="22"/>
        </w:rPr>
        <w:t xml:space="preserve"> </w:t>
      </w:r>
      <w:r w:rsidRPr="00124F13">
        <w:rPr>
          <w:rFonts w:ascii="Verdana" w:hAnsi="Verdana"/>
          <w:i/>
          <w:iCs/>
          <w:sz w:val="22"/>
          <w:szCs w:val="22"/>
        </w:rPr>
        <w:t>abogados</w:t>
      </w:r>
      <w:r w:rsidR="00124F13" w:rsidRPr="00124F13">
        <w:rPr>
          <w:rFonts w:ascii="Verdana" w:hAnsi="Verdana"/>
          <w:i/>
          <w:iCs/>
          <w:sz w:val="22"/>
          <w:szCs w:val="22"/>
        </w:rPr>
        <w:t xml:space="preserve"> </w:t>
      </w:r>
      <w:r w:rsidRPr="00124F13">
        <w:rPr>
          <w:rStyle w:val="Cuerpodeltexto3Sincursiva"/>
          <w:rFonts w:ascii="Verdana" w:hAnsi="Verdana"/>
          <w:sz w:val="22"/>
          <w:szCs w:val="22"/>
        </w:rPr>
        <w:t>y</w:t>
      </w:r>
      <w:r w:rsidR="00124F13" w:rsidRPr="00124F13">
        <w:rPr>
          <w:rStyle w:val="Cuerpodeltexto3Sincursiva"/>
          <w:rFonts w:ascii="Verdana" w:hAnsi="Verdana"/>
          <w:sz w:val="22"/>
          <w:szCs w:val="22"/>
        </w:rPr>
        <w:t xml:space="preserve"> </w:t>
      </w:r>
      <w:r w:rsidRPr="00124F13">
        <w:rPr>
          <w:rFonts w:ascii="Verdana" w:hAnsi="Verdana"/>
          <w:i/>
          <w:iCs/>
          <w:sz w:val="22"/>
          <w:szCs w:val="22"/>
        </w:rPr>
        <w:t>contadores,</w:t>
      </w:r>
      <w:r w:rsidR="00124F13" w:rsidRPr="00124F13">
        <w:rPr>
          <w:rFonts w:ascii="Verdana" w:hAnsi="Verdana"/>
          <w:i/>
          <w:iCs/>
          <w:sz w:val="22"/>
          <w:szCs w:val="22"/>
        </w:rPr>
        <w:t xml:space="preserve"> </w:t>
      </w:r>
      <w:r w:rsidRPr="00124F13">
        <w:rPr>
          <w:rFonts w:ascii="Verdana" w:hAnsi="Verdana"/>
          <w:i/>
          <w:iCs/>
          <w:sz w:val="22"/>
          <w:szCs w:val="22"/>
        </w:rPr>
        <w:t>en</w:t>
      </w:r>
      <w:r w:rsidR="00124F13" w:rsidRPr="00124F13">
        <w:rPr>
          <w:rFonts w:ascii="Verdana" w:hAnsi="Verdana"/>
          <w:i/>
          <w:iCs/>
          <w:sz w:val="22"/>
          <w:szCs w:val="22"/>
        </w:rPr>
        <w:t xml:space="preserve"> </w:t>
      </w:r>
      <w:r w:rsidRPr="00124F13">
        <w:rPr>
          <w:rFonts w:ascii="Verdana" w:hAnsi="Verdana"/>
          <w:i/>
          <w:iCs/>
          <w:sz w:val="22"/>
          <w:szCs w:val="22"/>
        </w:rPr>
        <w:t>qué</w:t>
      </w:r>
      <w:r w:rsidR="00124F13" w:rsidRPr="00124F13">
        <w:rPr>
          <w:rFonts w:ascii="Verdana" w:hAnsi="Verdana"/>
          <w:i/>
          <w:iCs/>
          <w:sz w:val="22"/>
          <w:szCs w:val="22"/>
        </w:rPr>
        <w:t xml:space="preserve"> </w:t>
      </w:r>
      <w:r w:rsidRPr="00124F13">
        <w:rPr>
          <w:rFonts w:ascii="Verdana" w:hAnsi="Verdana"/>
          <w:i/>
          <w:iCs/>
          <w:sz w:val="22"/>
          <w:szCs w:val="22"/>
        </w:rPr>
        <w:t>grupo</w:t>
      </w:r>
      <w:r w:rsidR="00124F13" w:rsidRPr="00124F13">
        <w:rPr>
          <w:rFonts w:ascii="Verdana" w:hAnsi="Verdana"/>
          <w:i/>
          <w:iCs/>
          <w:sz w:val="22"/>
          <w:szCs w:val="22"/>
        </w:rPr>
        <w:t xml:space="preserve"> </w:t>
      </w:r>
      <w:r w:rsidRPr="00124F13">
        <w:rPr>
          <w:rFonts w:ascii="Verdana" w:hAnsi="Verdana"/>
          <w:i/>
          <w:iCs/>
          <w:sz w:val="22"/>
          <w:szCs w:val="22"/>
        </w:rPr>
        <w:t>de</w:t>
      </w:r>
      <w:r w:rsidR="00124F13" w:rsidRPr="00124F13">
        <w:rPr>
          <w:rFonts w:ascii="Verdana" w:hAnsi="Verdana"/>
          <w:i/>
          <w:iCs/>
          <w:sz w:val="22"/>
          <w:szCs w:val="22"/>
        </w:rPr>
        <w:t xml:space="preserve"> </w:t>
      </w:r>
      <w:r w:rsidRPr="00124F13">
        <w:rPr>
          <w:rFonts w:ascii="Verdana" w:hAnsi="Verdana"/>
          <w:i/>
          <w:iCs/>
          <w:sz w:val="22"/>
          <w:szCs w:val="22"/>
        </w:rPr>
        <w:t>NIIF</w:t>
      </w:r>
      <w:r w:rsidR="00124F13" w:rsidRPr="00124F13">
        <w:rPr>
          <w:rFonts w:ascii="Verdana" w:hAnsi="Verdana"/>
          <w:i/>
          <w:iCs/>
          <w:sz w:val="22"/>
          <w:szCs w:val="22"/>
        </w:rPr>
        <w:t xml:space="preserve"> </w:t>
      </w:r>
      <w:r w:rsidRPr="00124F13">
        <w:rPr>
          <w:rFonts w:ascii="Verdana" w:hAnsi="Verdana"/>
          <w:i/>
          <w:iCs/>
          <w:sz w:val="22"/>
          <w:szCs w:val="22"/>
        </w:rPr>
        <w:t>se</w:t>
      </w:r>
      <w:r w:rsidR="00124F13" w:rsidRPr="00124F13">
        <w:rPr>
          <w:rFonts w:ascii="Verdana" w:hAnsi="Verdana"/>
          <w:i/>
          <w:iCs/>
          <w:sz w:val="22"/>
          <w:szCs w:val="22"/>
        </w:rPr>
        <w:t xml:space="preserve"> </w:t>
      </w:r>
      <w:r w:rsidRPr="00124F13">
        <w:rPr>
          <w:rFonts w:ascii="Verdana" w:hAnsi="Verdana"/>
          <w:i/>
          <w:iCs/>
          <w:sz w:val="22"/>
          <w:szCs w:val="22"/>
        </w:rPr>
        <w:t>pueden</w:t>
      </w:r>
      <w:r w:rsidR="00124F13">
        <w:rPr>
          <w:rFonts w:ascii="Verdana" w:hAnsi="Verdana"/>
          <w:i/>
          <w:iCs/>
          <w:sz w:val="22"/>
          <w:szCs w:val="22"/>
        </w:rPr>
        <w:t xml:space="preserve"> </w:t>
      </w:r>
      <w:r w:rsidRPr="00124F13">
        <w:rPr>
          <w:rFonts w:ascii="Verdana" w:hAnsi="Verdana"/>
          <w:i/>
          <w:iCs/>
          <w:sz w:val="22"/>
          <w:szCs w:val="22"/>
        </w:rPr>
        <w:t>clasificar?</w:t>
      </w:r>
    </w:p>
    <w:p w14:paraId="68CED369" w14:textId="77777777" w:rsidR="00124F13" w:rsidRDefault="00124F13" w:rsidP="00124F13">
      <w:pPr>
        <w:pStyle w:val="Sinespaciado"/>
        <w:ind w:left="720"/>
        <w:jc w:val="both"/>
        <w:rPr>
          <w:rFonts w:ascii="Verdana" w:hAnsi="Verdana"/>
          <w:i/>
          <w:iCs/>
          <w:sz w:val="22"/>
          <w:szCs w:val="22"/>
        </w:rPr>
      </w:pPr>
    </w:p>
    <w:p w14:paraId="7B627B46"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¿Existe alguna norma en materia contable que hable sobre</w:t>
      </w:r>
      <w:r w:rsidRPr="00124F13">
        <w:rPr>
          <w:rFonts w:ascii="Verdana" w:hAnsi="Verdana"/>
          <w:i/>
          <w:iCs/>
          <w:sz w:val="22"/>
          <w:szCs w:val="22"/>
        </w:rPr>
        <w:t xml:space="preserve"> profesiones liberales</w:t>
      </w:r>
      <w:r w:rsidRPr="00124F13">
        <w:rPr>
          <w:rStyle w:val="Cuerpodeltexto3Sincursiva"/>
          <w:rFonts w:ascii="Verdana" w:hAnsi="Verdana"/>
          <w:i w:val="0"/>
          <w:iCs w:val="0"/>
          <w:sz w:val="22"/>
          <w:szCs w:val="22"/>
        </w:rPr>
        <w:t xml:space="preserve"> y </w:t>
      </w:r>
      <w:r w:rsidRPr="00124F13">
        <w:rPr>
          <w:rFonts w:ascii="Verdana" w:hAnsi="Verdana"/>
          <w:i/>
          <w:iCs/>
          <w:sz w:val="22"/>
          <w:szCs w:val="22"/>
        </w:rPr>
        <w:t>su aplicación financiera?</w:t>
      </w:r>
    </w:p>
    <w:p w14:paraId="0C20321B" w14:textId="77777777" w:rsidR="00124F13" w:rsidRDefault="00124F13" w:rsidP="00124F13">
      <w:pPr>
        <w:pStyle w:val="Prrafodelista"/>
        <w:rPr>
          <w:rFonts w:ascii="Verdana" w:hAnsi="Verdana"/>
          <w:i/>
          <w:iCs/>
          <w:sz w:val="22"/>
          <w:szCs w:val="22"/>
        </w:rPr>
      </w:pPr>
    </w:p>
    <w:p w14:paraId="37057771"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¿En qué momento se debe reconocer una cuenta por cobrar un abogado o contador que ejerce profesión liberal?</w:t>
      </w:r>
    </w:p>
    <w:p w14:paraId="67C3EEC2" w14:textId="77777777" w:rsidR="00124F13" w:rsidRDefault="00124F13" w:rsidP="00124F13">
      <w:pPr>
        <w:pStyle w:val="Prrafodelista"/>
        <w:rPr>
          <w:rFonts w:ascii="Verdana" w:hAnsi="Verdana"/>
          <w:i/>
          <w:iCs/>
          <w:sz w:val="22"/>
          <w:szCs w:val="22"/>
        </w:rPr>
      </w:pPr>
    </w:p>
    <w:p w14:paraId="0B50FBD6"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 xml:space="preserve">¿En qué momento se debe reconocer un ingreso por concepto de honorarios que perciba un abogado </w:t>
      </w:r>
      <w:r w:rsidRPr="00124F13">
        <w:rPr>
          <w:rFonts w:ascii="Verdana" w:hAnsi="Verdana"/>
          <w:i/>
          <w:iCs/>
          <w:sz w:val="22"/>
          <w:szCs w:val="22"/>
        </w:rPr>
        <w:t>o contador p</w:t>
      </w:r>
      <w:r w:rsidR="00124F13">
        <w:rPr>
          <w:rFonts w:ascii="Verdana" w:hAnsi="Verdana"/>
          <w:i/>
          <w:iCs/>
          <w:sz w:val="22"/>
          <w:szCs w:val="22"/>
        </w:rPr>
        <w:t>ú</w:t>
      </w:r>
      <w:r w:rsidRPr="00124F13">
        <w:rPr>
          <w:rFonts w:ascii="Verdana" w:hAnsi="Verdana"/>
          <w:i/>
          <w:iCs/>
          <w:sz w:val="22"/>
          <w:szCs w:val="22"/>
        </w:rPr>
        <w:t>blico en ejercicio de su profesión liberal?</w:t>
      </w:r>
    </w:p>
    <w:p w14:paraId="3CDA08C0" w14:textId="77777777" w:rsidR="00124F13" w:rsidRDefault="00124F13" w:rsidP="00124F13">
      <w:pPr>
        <w:pStyle w:val="Prrafodelista"/>
        <w:rPr>
          <w:rFonts w:ascii="Verdana" w:hAnsi="Verdana"/>
          <w:i/>
          <w:iCs/>
          <w:sz w:val="22"/>
          <w:szCs w:val="22"/>
        </w:rPr>
      </w:pPr>
    </w:p>
    <w:p w14:paraId="3D7DF80B"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Un abogado representa en un proceso de reparación directa a un grupo de personas, en el año 2015, el tribunal administrativo falla a favor del abogado</w:t>
      </w:r>
      <w:r w:rsidRPr="00124F13">
        <w:rPr>
          <w:rStyle w:val="Cuerpodeltexto3Sincursiva"/>
          <w:rFonts w:ascii="Verdana" w:hAnsi="Verdana"/>
          <w:i w:val="0"/>
          <w:iCs w:val="0"/>
          <w:sz w:val="22"/>
          <w:szCs w:val="22"/>
        </w:rPr>
        <w:t xml:space="preserve"> </w:t>
      </w:r>
      <w:r w:rsidRPr="00124F13">
        <w:rPr>
          <w:rStyle w:val="Cuerpodeltexto3Sincursiva"/>
          <w:rFonts w:ascii="Verdana" w:hAnsi="Verdana"/>
          <w:sz w:val="22"/>
          <w:szCs w:val="22"/>
        </w:rPr>
        <w:t>y</w:t>
      </w:r>
      <w:r w:rsidRPr="00124F13">
        <w:rPr>
          <w:rStyle w:val="Cuerpodeltexto3Sincursiva"/>
          <w:rFonts w:ascii="Verdana" w:hAnsi="Verdana"/>
          <w:i w:val="0"/>
          <w:iCs w:val="0"/>
          <w:sz w:val="22"/>
          <w:szCs w:val="22"/>
        </w:rPr>
        <w:t xml:space="preserve"> </w:t>
      </w:r>
      <w:r w:rsidRPr="00124F13">
        <w:rPr>
          <w:rFonts w:ascii="Verdana" w:hAnsi="Verdana"/>
          <w:i/>
          <w:iCs/>
          <w:sz w:val="22"/>
          <w:szCs w:val="22"/>
        </w:rPr>
        <w:t>sus representantes. La entidad pública consig</w:t>
      </w:r>
      <w:r w:rsidRPr="00124F13">
        <w:rPr>
          <w:rFonts w:ascii="Verdana" w:hAnsi="Verdana"/>
          <w:i/>
          <w:iCs/>
          <w:sz w:val="22"/>
          <w:szCs w:val="22"/>
        </w:rPr>
        <w:t>na el valor de la reparación directa en el año 2018 a la cuenta bancada de propiedad del abogado. ¿En qué momento se reconoce el ingreso para el abogado, año 2015 o año 2018?</w:t>
      </w:r>
    </w:p>
    <w:p w14:paraId="24A19B95" w14:textId="77777777" w:rsidR="00124F13" w:rsidRDefault="00124F13" w:rsidP="00124F13">
      <w:pPr>
        <w:pStyle w:val="Prrafodelista"/>
        <w:rPr>
          <w:rFonts w:ascii="Verdana" w:hAnsi="Verdana"/>
          <w:i/>
          <w:iCs/>
          <w:sz w:val="22"/>
          <w:szCs w:val="22"/>
        </w:rPr>
      </w:pPr>
    </w:p>
    <w:p w14:paraId="187FED7C" w14:textId="77777777" w:rsid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Un abogado tiene pendiente que le cancelen unos honorarios por haber representado a un grupo de personas en un proceso de reparación directa que falló en el año 2019 a favor del abogado. La Entidad pública gira el valor de la reparación directa en el año 2</w:t>
      </w:r>
      <w:r w:rsidRPr="00124F13">
        <w:rPr>
          <w:rFonts w:ascii="Verdana" w:hAnsi="Verdana"/>
          <w:i/>
          <w:iCs/>
          <w:sz w:val="22"/>
          <w:szCs w:val="22"/>
        </w:rPr>
        <w:t xml:space="preserve">021. ¿En el año 2019 el abogado puede reconocer como una cuenta por cobrar sus honorarios a sus representados o estos </w:t>
      </w:r>
      <w:r w:rsidRPr="00124F13">
        <w:rPr>
          <w:rFonts w:ascii="Verdana" w:hAnsi="Verdana"/>
          <w:i/>
          <w:iCs/>
          <w:sz w:val="22"/>
          <w:szCs w:val="22"/>
        </w:rPr>
        <w:lastRenderedPageBreak/>
        <w:t>valores se reconocen hasta el</w:t>
      </w:r>
      <w:r w:rsidR="00124F13">
        <w:rPr>
          <w:rFonts w:ascii="Verdana" w:hAnsi="Verdana"/>
          <w:i/>
          <w:iCs/>
          <w:sz w:val="22"/>
          <w:szCs w:val="22"/>
        </w:rPr>
        <w:t xml:space="preserve"> </w:t>
      </w:r>
      <w:r w:rsidRPr="00124F13">
        <w:rPr>
          <w:rFonts w:ascii="Verdana" w:hAnsi="Verdana"/>
          <w:i/>
          <w:iCs/>
          <w:sz w:val="22"/>
          <w:szCs w:val="22"/>
        </w:rPr>
        <w:t>año 2021, fecha en que la entidad canceló la reparación directa</w:t>
      </w:r>
      <w:r w:rsidRPr="00124F13">
        <w:rPr>
          <w:rStyle w:val="Cuerpodeltexto3Sincursiva"/>
          <w:rFonts w:ascii="Verdana" w:hAnsi="Verdana"/>
          <w:i w:val="0"/>
          <w:iCs w:val="0"/>
          <w:sz w:val="22"/>
          <w:szCs w:val="22"/>
        </w:rPr>
        <w:t xml:space="preserve"> </w:t>
      </w:r>
      <w:r w:rsidRPr="00124F13">
        <w:rPr>
          <w:rStyle w:val="Cuerpodeltexto3Sincursiva"/>
          <w:rFonts w:ascii="Verdana" w:hAnsi="Verdana"/>
          <w:sz w:val="22"/>
          <w:szCs w:val="22"/>
        </w:rPr>
        <w:t>y</w:t>
      </w:r>
      <w:r w:rsidRPr="00124F13">
        <w:rPr>
          <w:rStyle w:val="Cuerpodeltexto3Sincursiva"/>
          <w:rFonts w:ascii="Verdana" w:hAnsi="Verdana"/>
          <w:i w:val="0"/>
          <w:iCs w:val="0"/>
          <w:sz w:val="22"/>
          <w:szCs w:val="22"/>
        </w:rPr>
        <w:t xml:space="preserve"> se </w:t>
      </w:r>
      <w:r w:rsidRPr="00124F13">
        <w:rPr>
          <w:rFonts w:ascii="Verdana" w:hAnsi="Verdana"/>
          <w:i/>
          <w:iCs/>
          <w:sz w:val="22"/>
          <w:szCs w:val="22"/>
        </w:rPr>
        <w:t>encuentran consignados en la cuenta del</w:t>
      </w:r>
      <w:r w:rsidRPr="00124F13">
        <w:rPr>
          <w:rFonts w:ascii="Verdana" w:hAnsi="Verdana"/>
          <w:i/>
          <w:iCs/>
          <w:sz w:val="22"/>
          <w:szCs w:val="22"/>
        </w:rPr>
        <w:t xml:space="preserve"> abogado, para su posterior giro a sus representados?</w:t>
      </w:r>
    </w:p>
    <w:p w14:paraId="7EC6754D" w14:textId="77777777" w:rsidR="00124F13" w:rsidRDefault="00124F13" w:rsidP="00124F13">
      <w:pPr>
        <w:pStyle w:val="Prrafodelista"/>
        <w:rPr>
          <w:rFonts w:ascii="Verdana" w:hAnsi="Verdana"/>
          <w:i/>
          <w:iCs/>
          <w:sz w:val="22"/>
          <w:szCs w:val="22"/>
        </w:rPr>
      </w:pPr>
    </w:p>
    <w:p w14:paraId="48F97973" w14:textId="2BBC4046" w:rsidR="006E4F35" w:rsidRPr="00124F13" w:rsidRDefault="002D7BBB" w:rsidP="00E538A2">
      <w:pPr>
        <w:pStyle w:val="Sinespaciado"/>
        <w:numPr>
          <w:ilvl w:val="0"/>
          <w:numId w:val="3"/>
        </w:numPr>
        <w:jc w:val="both"/>
        <w:rPr>
          <w:rFonts w:ascii="Verdana" w:hAnsi="Verdana"/>
          <w:i/>
          <w:iCs/>
          <w:sz w:val="22"/>
          <w:szCs w:val="22"/>
        </w:rPr>
      </w:pPr>
      <w:r w:rsidRPr="00124F13">
        <w:rPr>
          <w:rFonts w:ascii="Verdana" w:hAnsi="Verdana"/>
          <w:i/>
          <w:iCs/>
          <w:sz w:val="22"/>
          <w:szCs w:val="22"/>
        </w:rPr>
        <w:t>Un contador p</w:t>
      </w:r>
      <w:r w:rsidR="00124F13">
        <w:rPr>
          <w:rFonts w:ascii="Verdana" w:hAnsi="Verdana"/>
          <w:i/>
          <w:iCs/>
          <w:sz w:val="22"/>
          <w:szCs w:val="22"/>
        </w:rPr>
        <w:t>úbli</w:t>
      </w:r>
      <w:r w:rsidRPr="00124F13">
        <w:rPr>
          <w:rFonts w:ascii="Verdana" w:hAnsi="Verdana"/>
          <w:i/>
          <w:iCs/>
          <w:sz w:val="22"/>
          <w:szCs w:val="22"/>
        </w:rPr>
        <w:t>co tiene pendiente que le cancelen honorarios por ejercer su profesión en una sociedad. A diciembre de 2021 la deuda asciende a $80.000.000. En el año 2022 el contador fallece. ¿La sum</w:t>
      </w:r>
      <w:r w:rsidRPr="00124F13">
        <w:rPr>
          <w:rFonts w:ascii="Verdana" w:hAnsi="Verdana"/>
          <w:i/>
          <w:iCs/>
          <w:sz w:val="22"/>
          <w:szCs w:val="22"/>
        </w:rPr>
        <w:t xml:space="preserve">a de $80.000.000 puede considerarse como una cuenta por cobrar en el año 2021? o en su defecto, ¿puede constituirse como una cuenta por cobrar en el inventario de bienes sucesorales?, ¿en qué momento se reconoce el ingreso de la suma de $80.000.000, en el </w:t>
      </w:r>
      <w:r w:rsidRPr="00124F13">
        <w:rPr>
          <w:rFonts w:ascii="Verdana" w:hAnsi="Verdana"/>
          <w:i/>
          <w:iCs/>
          <w:sz w:val="22"/>
          <w:szCs w:val="22"/>
        </w:rPr>
        <w:t>año 2021 o 2022?</w:t>
      </w:r>
    </w:p>
    <w:p w14:paraId="25B51A81" w14:textId="77777777" w:rsidR="006E4F35" w:rsidRPr="00E538A2" w:rsidRDefault="002D7BBB" w:rsidP="00124F13">
      <w:pPr>
        <w:pStyle w:val="Sinespaciado"/>
        <w:ind w:firstLine="708"/>
        <w:jc w:val="both"/>
        <w:rPr>
          <w:rFonts w:ascii="Verdana" w:hAnsi="Verdana"/>
          <w:i/>
          <w:iCs/>
          <w:sz w:val="22"/>
          <w:szCs w:val="22"/>
        </w:rPr>
      </w:pPr>
      <w:r w:rsidRPr="00E538A2">
        <w:rPr>
          <w:rFonts w:ascii="Verdana" w:hAnsi="Verdana"/>
          <w:i/>
          <w:iCs/>
          <w:sz w:val="22"/>
          <w:szCs w:val="22"/>
        </w:rPr>
        <w:t>(...)”</w:t>
      </w:r>
    </w:p>
    <w:p w14:paraId="7ACC4C45" w14:textId="77777777" w:rsidR="00124F13" w:rsidRDefault="00124F13" w:rsidP="00E538A2">
      <w:pPr>
        <w:pStyle w:val="Sinespaciado"/>
        <w:jc w:val="both"/>
        <w:rPr>
          <w:rFonts w:ascii="Verdana" w:hAnsi="Verdana"/>
        </w:rPr>
      </w:pPr>
    </w:p>
    <w:p w14:paraId="2FC685A8" w14:textId="6FFA9252" w:rsidR="006E4F35" w:rsidRPr="00124F13" w:rsidRDefault="002D7BBB" w:rsidP="00E538A2">
      <w:pPr>
        <w:pStyle w:val="Sinespaciado"/>
        <w:jc w:val="both"/>
        <w:rPr>
          <w:rFonts w:ascii="Verdana" w:hAnsi="Verdana"/>
          <w:b/>
          <w:bCs/>
        </w:rPr>
      </w:pPr>
      <w:r w:rsidRPr="00124F13">
        <w:rPr>
          <w:rFonts w:ascii="Verdana" w:hAnsi="Verdana"/>
          <w:b/>
          <w:bCs/>
        </w:rPr>
        <w:t>CONSIDERACIONES Y CONCEPTO</w:t>
      </w:r>
    </w:p>
    <w:p w14:paraId="5C726AA4" w14:textId="77777777" w:rsidR="00124F13" w:rsidRDefault="00124F13" w:rsidP="00E538A2">
      <w:pPr>
        <w:pStyle w:val="Sinespaciado"/>
        <w:jc w:val="both"/>
        <w:rPr>
          <w:rFonts w:ascii="Verdana" w:hAnsi="Verdana"/>
        </w:rPr>
      </w:pPr>
    </w:p>
    <w:p w14:paraId="6E0239BF" w14:textId="0A96F645" w:rsidR="006E4F35" w:rsidRPr="00E538A2" w:rsidRDefault="002D7BBB" w:rsidP="00E538A2">
      <w:pPr>
        <w:pStyle w:val="Sinespaciado"/>
        <w:jc w:val="both"/>
        <w:rPr>
          <w:rFonts w:ascii="Verdana" w:hAnsi="Verdana"/>
        </w:rPr>
      </w:pPr>
      <w:r w:rsidRPr="00E538A2">
        <w:rPr>
          <w:rFonts w:ascii="Verdana" w:hAnsi="Verdana"/>
        </w:rPr>
        <w:t xml:space="preserve">El Consejo Técnico de la Contaduría Pública (CTCP) en su carácter de Organismo Orientador técnico- científico de la profesión y Normalizador de las Normas de Contabilidad, de Información Financiera y de </w:t>
      </w:r>
      <w:r w:rsidRPr="00E538A2">
        <w:rPr>
          <w:rFonts w:ascii="Verdana" w:hAnsi="Verdana"/>
        </w:rPr>
        <w:t>Aseguramiento de la Información, conforme a las normas legales vigentes, especialmente por lo dispuesto en la Ley 43 de 1990, la Ley 1314 de 2009, y en sus Decretos Reglamentarios, procede a dar respuesta a la consulta anterior de manera general, pues no s</w:t>
      </w:r>
      <w:r w:rsidRPr="00E538A2">
        <w:rPr>
          <w:rFonts w:ascii="Verdana" w:hAnsi="Verdana"/>
        </w:rPr>
        <w:t>e pretende resolver casos particulares, en los siguientes términos:</w:t>
      </w:r>
    </w:p>
    <w:p w14:paraId="293FD5F3" w14:textId="77777777" w:rsidR="00124F13" w:rsidRDefault="00124F13" w:rsidP="00E538A2">
      <w:pPr>
        <w:pStyle w:val="Sinespaciado"/>
        <w:jc w:val="both"/>
        <w:rPr>
          <w:rFonts w:ascii="Verdana" w:hAnsi="Verdana"/>
        </w:rPr>
      </w:pPr>
      <w:bookmarkStart w:id="1" w:name="bookmark0"/>
    </w:p>
    <w:p w14:paraId="48916F2A" w14:textId="77777777" w:rsidR="00124F13" w:rsidRDefault="002D7BBB" w:rsidP="00E538A2">
      <w:pPr>
        <w:pStyle w:val="Sinespaciado"/>
        <w:numPr>
          <w:ilvl w:val="0"/>
          <w:numId w:val="4"/>
        </w:numPr>
        <w:jc w:val="both"/>
        <w:rPr>
          <w:rFonts w:ascii="Verdana" w:hAnsi="Verdana"/>
          <w:b/>
          <w:bCs/>
          <w:i/>
          <w:iCs/>
          <w:sz w:val="22"/>
          <w:szCs w:val="22"/>
        </w:rPr>
      </w:pPr>
      <w:r w:rsidRPr="00124F13">
        <w:rPr>
          <w:rFonts w:ascii="Verdana" w:hAnsi="Verdana"/>
          <w:b/>
          <w:bCs/>
          <w:i/>
          <w:iCs/>
          <w:sz w:val="22"/>
          <w:szCs w:val="22"/>
        </w:rPr>
        <w:t>¿Las</w:t>
      </w:r>
      <w:r w:rsidR="00124F13" w:rsidRPr="00124F13">
        <w:rPr>
          <w:rFonts w:ascii="Verdana" w:hAnsi="Verdana"/>
          <w:b/>
          <w:bCs/>
          <w:i/>
          <w:iCs/>
          <w:sz w:val="22"/>
          <w:szCs w:val="22"/>
        </w:rPr>
        <w:t xml:space="preserve"> </w:t>
      </w:r>
      <w:r w:rsidRPr="00124F13">
        <w:rPr>
          <w:rFonts w:ascii="Verdana" w:hAnsi="Verdana"/>
          <w:b/>
          <w:bCs/>
          <w:i/>
          <w:iCs/>
          <w:sz w:val="22"/>
          <w:szCs w:val="22"/>
        </w:rPr>
        <w:t>profesiones</w:t>
      </w:r>
      <w:r w:rsidR="00124F13" w:rsidRPr="00124F13">
        <w:rPr>
          <w:rFonts w:ascii="Verdana" w:hAnsi="Verdana"/>
          <w:b/>
          <w:bCs/>
          <w:i/>
          <w:iCs/>
          <w:sz w:val="22"/>
          <w:szCs w:val="22"/>
        </w:rPr>
        <w:t xml:space="preserve"> </w:t>
      </w:r>
      <w:r w:rsidRPr="00124F13">
        <w:rPr>
          <w:rFonts w:ascii="Verdana" w:hAnsi="Verdana"/>
          <w:b/>
          <w:bCs/>
          <w:i/>
          <w:iCs/>
          <w:sz w:val="22"/>
          <w:szCs w:val="22"/>
        </w:rPr>
        <w:t>liberales</w:t>
      </w:r>
      <w:r w:rsidR="00124F13" w:rsidRPr="00124F13">
        <w:rPr>
          <w:rFonts w:ascii="Verdana" w:hAnsi="Verdana"/>
          <w:b/>
          <w:bCs/>
          <w:i/>
          <w:iCs/>
          <w:sz w:val="22"/>
          <w:szCs w:val="22"/>
        </w:rPr>
        <w:t xml:space="preserve"> </w:t>
      </w:r>
      <w:r w:rsidRPr="00124F13">
        <w:rPr>
          <w:rFonts w:ascii="Verdana" w:hAnsi="Verdana"/>
          <w:b/>
          <w:bCs/>
          <w:i/>
          <w:iCs/>
          <w:sz w:val="22"/>
          <w:szCs w:val="22"/>
        </w:rPr>
        <w:t>tales</w:t>
      </w:r>
      <w:r w:rsidR="00124F13" w:rsidRPr="00124F13">
        <w:rPr>
          <w:rFonts w:ascii="Verdana" w:hAnsi="Verdana"/>
          <w:b/>
          <w:bCs/>
          <w:i/>
          <w:iCs/>
          <w:sz w:val="22"/>
          <w:szCs w:val="22"/>
        </w:rPr>
        <w:t xml:space="preserve"> </w:t>
      </w:r>
      <w:r w:rsidRPr="00124F13">
        <w:rPr>
          <w:rFonts w:ascii="Verdana" w:hAnsi="Verdana"/>
          <w:b/>
          <w:bCs/>
          <w:i/>
          <w:iCs/>
          <w:sz w:val="22"/>
          <w:szCs w:val="22"/>
        </w:rPr>
        <w:t>como</w:t>
      </w:r>
      <w:r w:rsidR="00124F13" w:rsidRPr="00124F13">
        <w:rPr>
          <w:rFonts w:ascii="Verdana" w:hAnsi="Verdana"/>
          <w:b/>
          <w:bCs/>
          <w:i/>
          <w:iCs/>
          <w:sz w:val="22"/>
          <w:szCs w:val="22"/>
        </w:rPr>
        <w:t xml:space="preserve"> a</w:t>
      </w:r>
      <w:r w:rsidRPr="00124F13">
        <w:rPr>
          <w:rFonts w:ascii="Verdana" w:hAnsi="Verdana"/>
          <w:b/>
          <w:bCs/>
          <w:i/>
          <w:iCs/>
          <w:sz w:val="22"/>
          <w:szCs w:val="22"/>
        </w:rPr>
        <w:t>bogados</w:t>
      </w:r>
      <w:r w:rsidR="00124F13" w:rsidRPr="00124F13">
        <w:rPr>
          <w:rFonts w:ascii="Verdana" w:hAnsi="Verdana"/>
          <w:b/>
          <w:bCs/>
          <w:i/>
          <w:iCs/>
          <w:sz w:val="22"/>
          <w:szCs w:val="22"/>
        </w:rPr>
        <w:t xml:space="preserve"> </w:t>
      </w:r>
      <w:r w:rsidRPr="00124F13">
        <w:rPr>
          <w:rFonts w:ascii="Verdana" w:hAnsi="Verdana"/>
          <w:b/>
          <w:bCs/>
          <w:i/>
          <w:iCs/>
          <w:sz w:val="22"/>
          <w:szCs w:val="22"/>
        </w:rPr>
        <w:t>y</w:t>
      </w:r>
      <w:r w:rsidR="00124F13" w:rsidRPr="00124F13">
        <w:rPr>
          <w:rFonts w:ascii="Verdana" w:hAnsi="Verdana"/>
          <w:b/>
          <w:bCs/>
          <w:i/>
          <w:iCs/>
          <w:sz w:val="22"/>
          <w:szCs w:val="22"/>
        </w:rPr>
        <w:t xml:space="preserve"> </w:t>
      </w:r>
      <w:r w:rsidRPr="00124F13">
        <w:rPr>
          <w:rFonts w:ascii="Verdana" w:hAnsi="Verdana"/>
          <w:b/>
          <w:bCs/>
          <w:i/>
          <w:iCs/>
          <w:sz w:val="22"/>
          <w:szCs w:val="22"/>
        </w:rPr>
        <w:t>contadores,</w:t>
      </w:r>
      <w:r w:rsidR="00124F13" w:rsidRPr="00124F13">
        <w:rPr>
          <w:rFonts w:ascii="Verdana" w:hAnsi="Verdana"/>
          <w:b/>
          <w:bCs/>
          <w:i/>
          <w:iCs/>
          <w:sz w:val="22"/>
          <w:szCs w:val="22"/>
        </w:rPr>
        <w:t xml:space="preserve"> </w:t>
      </w:r>
      <w:r w:rsidRPr="00124F13">
        <w:rPr>
          <w:rFonts w:ascii="Verdana" w:hAnsi="Verdana"/>
          <w:b/>
          <w:bCs/>
          <w:i/>
          <w:iCs/>
          <w:sz w:val="22"/>
          <w:szCs w:val="22"/>
        </w:rPr>
        <w:t>en</w:t>
      </w:r>
      <w:r w:rsidR="00124F13" w:rsidRPr="00124F13">
        <w:rPr>
          <w:rFonts w:ascii="Verdana" w:hAnsi="Verdana"/>
          <w:b/>
          <w:bCs/>
          <w:i/>
          <w:iCs/>
          <w:sz w:val="22"/>
          <w:szCs w:val="22"/>
        </w:rPr>
        <w:t xml:space="preserve"> </w:t>
      </w:r>
      <w:r w:rsidRPr="00124F13">
        <w:rPr>
          <w:rFonts w:ascii="Verdana" w:hAnsi="Verdana"/>
          <w:b/>
          <w:bCs/>
          <w:i/>
          <w:iCs/>
          <w:sz w:val="22"/>
          <w:szCs w:val="22"/>
        </w:rPr>
        <w:t>qué</w:t>
      </w:r>
      <w:r w:rsidR="00124F13" w:rsidRPr="00124F13">
        <w:rPr>
          <w:rFonts w:ascii="Verdana" w:hAnsi="Verdana"/>
          <w:b/>
          <w:bCs/>
          <w:i/>
          <w:iCs/>
          <w:sz w:val="22"/>
          <w:szCs w:val="22"/>
        </w:rPr>
        <w:t xml:space="preserve"> </w:t>
      </w:r>
      <w:r w:rsidRPr="00124F13">
        <w:rPr>
          <w:rFonts w:ascii="Verdana" w:hAnsi="Verdana"/>
          <w:b/>
          <w:bCs/>
          <w:i/>
          <w:iCs/>
          <w:sz w:val="22"/>
          <w:szCs w:val="22"/>
        </w:rPr>
        <w:t>grupo</w:t>
      </w:r>
      <w:r w:rsidR="00124F13" w:rsidRPr="00124F13">
        <w:rPr>
          <w:rFonts w:ascii="Verdana" w:hAnsi="Verdana"/>
          <w:b/>
          <w:bCs/>
          <w:i/>
          <w:iCs/>
          <w:sz w:val="22"/>
          <w:szCs w:val="22"/>
        </w:rPr>
        <w:t xml:space="preserve"> </w:t>
      </w:r>
      <w:r w:rsidRPr="00124F13">
        <w:rPr>
          <w:rFonts w:ascii="Verdana" w:hAnsi="Verdana"/>
          <w:b/>
          <w:bCs/>
          <w:i/>
          <w:iCs/>
          <w:sz w:val="22"/>
          <w:szCs w:val="22"/>
        </w:rPr>
        <w:t>de</w:t>
      </w:r>
      <w:r w:rsidR="00124F13" w:rsidRPr="00124F13">
        <w:rPr>
          <w:rFonts w:ascii="Verdana" w:hAnsi="Verdana"/>
          <w:b/>
          <w:bCs/>
          <w:i/>
          <w:iCs/>
          <w:sz w:val="22"/>
          <w:szCs w:val="22"/>
        </w:rPr>
        <w:t xml:space="preserve"> NIIF </w:t>
      </w:r>
      <w:r w:rsidRPr="00124F13">
        <w:rPr>
          <w:rFonts w:ascii="Verdana" w:hAnsi="Verdana"/>
          <w:b/>
          <w:bCs/>
          <w:i/>
          <w:iCs/>
          <w:sz w:val="22"/>
          <w:szCs w:val="22"/>
        </w:rPr>
        <w:t>se pueden</w:t>
      </w:r>
      <w:bookmarkEnd w:id="1"/>
      <w:r w:rsidR="00124F13">
        <w:rPr>
          <w:rFonts w:ascii="Verdana" w:hAnsi="Verdana"/>
          <w:b/>
          <w:bCs/>
          <w:i/>
          <w:iCs/>
          <w:sz w:val="22"/>
          <w:szCs w:val="22"/>
        </w:rPr>
        <w:t xml:space="preserve"> </w:t>
      </w:r>
      <w:r w:rsidRPr="00124F13">
        <w:rPr>
          <w:rFonts w:ascii="Verdana" w:hAnsi="Verdana"/>
          <w:b/>
          <w:bCs/>
          <w:i/>
          <w:iCs/>
          <w:sz w:val="22"/>
          <w:szCs w:val="22"/>
        </w:rPr>
        <w:t>clasificar?</w:t>
      </w:r>
      <w:bookmarkStart w:id="2" w:name="bookmark1"/>
    </w:p>
    <w:p w14:paraId="03D63973" w14:textId="2D198F0B" w:rsidR="006E4F35" w:rsidRPr="00124F13" w:rsidRDefault="002D7BBB" w:rsidP="00E538A2">
      <w:pPr>
        <w:pStyle w:val="Sinespaciado"/>
        <w:numPr>
          <w:ilvl w:val="0"/>
          <w:numId w:val="4"/>
        </w:numPr>
        <w:jc w:val="both"/>
        <w:rPr>
          <w:rFonts w:ascii="Verdana" w:hAnsi="Verdana"/>
          <w:b/>
          <w:bCs/>
          <w:i/>
          <w:iCs/>
          <w:sz w:val="22"/>
          <w:szCs w:val="22"/>
        </w:rPr>
      </w:pPr>
      <w:r w:rsidRPr="00124F13">
        <w:rPr>
          <w:rFonts w:ascii="Verdana" w:hAnsi="Verdana"/>
          <w:b/>
          <w:bCs/>
          <w:i/>
          <w:iCs/>
          <w:sz w:val="22"/>
          <w:szCs w:val="22"/>
        </w:rPr>
        <w:t>¿Existe alguna norma en materia contable que hable sobre profesiones liberales y su</w:t>
      </w:r>
      <w:r w:rsidRPr="00124F13">
        <w:rPr>
          <w:rFonts w:ascii="Verdana" w:hAnsi="Verdana"/>
          <w:b/>
          <w:bCs/>
          <w:i/>
          <w:iCs/>
          <w:sz w:val="22"/>
          <w:szCs w:val="22"/>
        </w:rPr>
        <w:t xml:space="preserve"> aplicación financiera?</w:t>
      </w:r>
      <w:bookmarkEnd w:id="2"/>
    </w:p>
    <w:p w14:paraId="71FF7041" w14:textId="77777777" w:rsidR="00124F13" w:rsidRDefault="00124F13" w:rsidP="00E538A2">
      <w:pPr>
        <w:pStyle w:val="Sinespaciado"/>
        <w:jc w:val="both"/>
        <w:rPr>
          <w:rFonts w:ascii="Verdana" w:hAnsi="Verdana"/>
        </w:rPr>
      </w:pPr>
    </w:p>
    <w:p w14:paraId="4C66926B" w14:textId="0E6273C1" w:rsidR="006E4F35" w:rsidRPr="00E538A2" w:rsidRDefault="002D7BBB" w:rsidP="00E538A2">
      <w:pPr>
        <w:pStyle w:val="Sinespaciado"/>
        <w:jc w:val="both"/>
        <w:rPr>
          <w:rFonts w:ascii="Verdana" w:hAnsi="Verdana"/>
        </w:rPr>
      </w:pPr>
      <w:r w:rsidRPr="00E538A2">
        <w:rPr>
          <w:rFonts w:ascii="Verdana" w:hAnsi="Verdana"/>
        </w:rPr>
        <w:t>En cuanto a las preguntas 1 y 2, si la persona natural con una profesión liberal desarrolla actividades mercantiles, de acuerdo con el artículo 19 del Código de Comercio, o está obligada por otras disposiciones legales, estaría obl</w:t>
      </w:r>
      <w:r w:rsidRPr="00E538A2">
        <w:rPr>
          <w:rFonts w:ascii="Verdana" w:hAnsi="Verdana"/>
        </w:rPr>
        <w:t>igada a llevar contabilidad. De no ser así, sería voluntario el llevar contabilidad, caso en el cual debe cumplir con la normatividad respectiva para quienes sin estar obligados pretendan hacerla valer como prueba. El artículo 23 del mencionado Código defi</w:t>
      </w:r>
      <w:r w:rsidRPr="00E538A2">
        <w:rPr>
          <w:rFonts w:ascii="Verdana" w:hAnsi="Verdana"/>
        </w:rPr>
        <w:t>ne cuáles son los actos que no se consideran mercantiles, entre ellos los servicios de las profesiones liberales.</w:t>
      </w:r>
    </w:p>
    <w:p w14:paraId="753DF066" w14:textId="77777777" w:rsidR="00124F13" w:rsidRDefault="00124F13" w:rsidP="00E538A2">
      <w:pPr>
        <w:pStyle w:val="Sinespaciado"/>
        <w:jc w:val="both"/>
        <w:rPr>
          <w:rFonts w:ascii="Verdana" w:hAnsi="Verdana"/>
        </w:rPr>
      </w:pPr>
    </w:p>
    <w:p w14:paraId="160C0211" w14:textId="643C7EA6" w:rsidR="006E4F35" w:rsidRDefault="002D7BBB" w:rsidP="00E538A2">
      <w:pPr>
        <w:pStyle w:val="Sinespaciado"/>
        <w:jc w:val="both"/>
        <w:rPr>
          <w:rFonts w:ascii="Verdana" w:hAnsi="Verdana"/>
        </w:rPr>
      </w:pPr>
      <w:r w:rsidRPr="00E538A2">
        <w:rPr>
          <w:rFonts w:ascii="Verdana" w:hAnsi="Verdana"/>
        </w:rPr>
        <w:t xml:space="preserve">En el caso de quererla llevar, para un mejor entendimiento respecto de las clasificaciones respectivas, es conveniente recordar: artículo </w:t>
      </w:r>
      <w:r w:rsidRPr="00E538A2">
        <w:rPr>
          <w:rFonts w:ascii="Verdana" w:hAnsi="Verdana"/>
        </w:rPr>
        <w:lastRenderedPageBreak/>
        <w:t>1.1</w:t>
      </w:r>
      <w:r w:rsidRPr="00E538A2">
        <w:rPr>
          <w:rFonts w:ascii="Verdana" w:hAnsi="Verdana"/>
        </w:rPr>
        <w:t>.1.1 del Decreto 2420 de 2015 el cual se refiere a:</w:t>
      </w:r>
    </w:p>
    <w:p w14:paraId="7FD3A169" w14:textId="77777777" w:rsidR="00124F13" w:rsidRPr="00E538A2" w:rsidRDefault="00124F13" w:rsidP="00E538A2">
      <w:pPr>
        <w:pStyle w:val="Sinespaciado"/>
        <w:jc w:val="both"/>
        <w:rPr>
          <w:rFonts w:ascii="Verdana" w:hAnsi="Verdana"/>
        </w:rPr>
      </w:pPr>
    </w:p>
    <w:tbl>
      <w:tblPr>
        <w:tblOverlap w:val="never"/>
        <w:tblW w:w="9696" w:type="dxa"/>
        <w:jc w:val="center"/>
        <w:tblLayout w:type="fixed"/>
        <w:tblCellMar>
          <w:left w:w="10" w:type="dxa"/>
          <w:right w:w="10" w:type="dxa"/>
        </w:tblCellMar>
        <w:tblLook w:val="04A0" w:firstRow="1" w:lastRow="0" w:firstColumn="1" w:lastColumn="0" w:noHBand="0" w:noVBand="1"/>
      </w:tblPr>
      <w:tblGrid>
        <w:gridCol w:w="7944"/>
        <w:gridCol w:w="1752"/>
      </w:tblGrid>
      <w:tr w:rsidR="006E4F35" w:rsidRPr="00124F13" w14:paraId="634E54F1" w14:textId="77777777" w:rsidTr="00124F13">
        <w:trPr>
          <w:trHeight w:hRule="exact" w:val="288"/>
          <w:jc w:val="center"/>
        </w:trPr>
        <w:tc>
          <w:tcPr>
            <w:tcW w:w="7944" w:type="dxa"/>
            <w:tcBorders>
              <w:top w:val="single" w:sz="4" w:space="0" w:color="auto"/>
              <w:left w:val="single" w:sz="4" w:space="0" w:color="auto"/>
            </w:tcBorders>
            <w:shd w:val="clear" w:color="auto" w:fill="FFFFFF"/>
            <w:vAlign w:val="center"/>
          </w:tcPr>
          <w:p w14:paraId="65B80EEE" w14:textId="77777777" w:rsidR="006E4F35" w:rsidRPr="00124F13" w:rsidRDefault="002D7BBB" w:rsidP="00124F13">
            <w:pPr>
              <w:pStyle w:val="Sinespaciado"/>
              <w:jc w:val="center"/>
              <w:rPr>
                <w:rFonts w:ascii="Verdana" w:hAnsi="Verdana"/>
                <w:sz w:val="20"/>
                <w:szCs w:val="20"/>
              </w:rPr>
            </w:pPr>
            <w:r w:rsidRPr="00124F13">
              <w:rPr>
                <w:rStyle w:val="Cuerpodeltexto2Negrita"/>
                <w:rFonts w:ascii="Verdana" w:hAnsi="Verdana"/>
                <w:sz w:val="20"/>
                <w:szCs w:val="20"/>
              </w:rPr>
              <w:t>Situación</w:t>
            </w:r>
          </w:p>
        </w:tc>
        <w:tc>
          <w:tcPr>
            <w:tcW w:w="1752" w:type="dxa"/>
            <w:tcBorders>
              <w:top w:val="single" w:sz="4" w:space="0" w:color="auto"/>
              <w:left w:val="single" w:sz="4" w:space="0" w:color="auto"/>
              <w:right w:val="single" w:sz="4" w:space="0" w:color="auto"/>
            </w:tcBorders>
            <w:shd w:val="clear" w:color="auto" w:fill="FFFFFF"/>
            <w:vAlign w:val="center"/>
          </w:tcPr>
          <w:p w14:paraId="6121A89C" w14:textId="77777777" w:rsidR="006E4F35" w:rsidRPr="00124F13" w:rsidRDefault="002D7BBB" w:rsidP="00124F13">
            <w:pPr>
              <w:pStyle w:val="Sinespaciado"/>
              <w:jc w:val="center"/>
              <w:rPr>
                <w:rFonts w:ascii="Verdana" w:hAnsi="Verdana"/>
                <w:sz w:val="20"/>
                <w:szCs w:val="20"/>
              </w:rPr>
            </w:pPr>
            <w:r w:rsidRPr="00124F13">
              <w:rPr>
                <w:rStyle w:val="Cuerpodeltexto2Negrita"/>
                <w:rFonts w:ascii="Verdana" w:hAnsi="Verdana"/>
                <w:sz w:val="20"/>
                <w:szCs w:val="20"/>
              </w:rPr>
              <w:t>NIF</w:t>
            </w:r>
          </w:p>
        </w:tc>
      </w:tr>
      <w:tr w:rsidR="006E4F35" w:rsidRPr="00124F13" w14:paraId="0BF8F20B" w14:textId="77777777" w:rsidTr="00124F13">
        <w:trPr>
          <w:trHeight w:hRule="exact" w:val="557"/>
          <w:jc w:val="center"/>
        </w:trPr>
        <w:tc>
          <w:tcPr>
            <w:tcW w:w="7944" w:type="dxa"/>
            <w:tcBorders>
              <w:top w:val="single" w:sz="4" w:space="0" w:color="auto"/>
              <w:left w:val="single" w:sz="4" w:space="0" w:color="auto"/>
              <w:bottom w:val="single" w:sz="4" w:space="0" w:color="auto"/>
            </w:tcBorders>
            <w:shd w:val="clear" w:color="auto" w:fill="FFFFFF"/>
            <w:vAlign w:val="center"/>
          </w:tcPr>
          <w:p w14:paraId="4F1D8D72"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Entidad que tenga valores inscritos (acciones propias, bonos) en el Registro Nacional de Valores y Emisores (RNVE)</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14:paraId="3BC83DD5"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1 - NIIF</w:t>
            </w:r>
          </w:p>
        </w:tc>
      </w:tr>
      <w:tr w:rsidR="006E4F35" w:rsidRPr="00124F13" w14:paraId="574DADC4" w14:textId="77777777" w:rsidTr="00124F13">
        <w:trPr>
          <w:trHeight w:hRule="exact" w:val="283"/>
          <w:jc w:val="center"/>
        </w:trPr>
        <w:tc>
          <w:tcPr>
            <w:tcW w:w="7944" w:type="dxa"/>
            <w:tcBorders>
              <w:top w:val="single" w:sz="4" w:space="0" w:color="auto"/>
              <w:left w:val="single" w:sz="4" w:space="0" w:color="auto"/>
            </w:tcBorders>
            <w:shd w:val="clear" w:color="auto" w:fill="FFFFFF"/>
            <w:vAlign w:val="center"/>
          </w:tcPr>
          <w:p w14:paraId="2EFE7314"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Entidades y negocios de interés público</w:t>
            </w:r>
            <w:r w:rsidRPr="00124F13">
              <w:rPr>
                <w:rFonts w:ascii="Verdana" w:hAnsi="Verdana"/>
                <w:sz w:val="20"/>
                <w:szCs w:val="20"/>
                <w:vertAlign w:val="superscript"/>
              </w:rPr>
              <w:footnoteReference w:id="1"/>
            </w:r>
          </w:p>
        </w:tc>
        <w:tc>
          <w:tcPr>
            <w:tcW w:w="1752" w:type="dxa"/>
            <w:tcBorders>
              <w:top w:val="single" w:sz="4" w:space="0" w:color="auto"/>
              <w:left w:val="single" w:sz="4" w:space="0" w:color="auto"/>
              <w:right w:val="single" w:sz="4" w:space="0" w:color="auto"/>
            </w:tcBorders>
            <w:shd w:val="clear" w:color="auto" w:fill="FFFFFF"/>
            <w:vAlign w:val="center"/>
          </w:tcPr>
          <w:p w14:paraId="72919D55"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1 - NIIF</w:t>
            </w:r>
          </w:p>
        </w:tc>
      </w:tr>
      <w:tr w:rsidR="006E4F35" w:rsidRPr="00124F13" w14:paraId="43EF770C" w14:textId="77777777" w:rsidTr="00124F13">
        <w:trPr>
          <w:trHeight w:hRule="exact" w:val="1570"/>
          <w:jc w:val="center"/>
        </w:trPr>
        <w:tc>
          <w:tcPr>
            <w:tcW w:w="7944" w:type="dxa"/>
            <w:tcBorders>
              <w:top w:val="single" w:sz="4" w:space="0" w:color="auto"/>
              <w:left w:val="single" w:sz="4" w:space="0" w:color="auto"/>
            </w:tcBorders>
            <w:shd w:val="clear" w:color="auto" w:fill="FFFFFF"/>
            <w:vAlign w:val="center"/>
          </w:tcPr>
          <w:p w14:paraId="5A101F61"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Entidades que no sean emisores de valores, ni de interés público con una planta de personal mayor a 200 trabajadores o que posean activos mayores a 30.000 SMMLV, que sea subordinada o matriz de una entidad nacional que deba aplicar NIIF o de una entidad ex</w:t>
            </w:r>
            <w:r w:rsidRPr="00124F13">
              <w:rPr>
                <w:rFonts w:ascii="Verdana" w:hAnsi="Verdana"/>
                <w:sz w:val="20"/>
                <w:szCs w:val="20"/>
              </w:rPr>
              <w:t>tranjera que aplique NIIF; o sucursal, asociada o negocio conjunto, de una entidad extranjera que aplique NIIF plenas.</w:t>
            </w:r>
          </w:p>
        </w:tc>
        <w:tc>
          <w:tcPr>
            <w:tcW w:w="1752" w:type="dxa"/>
            <w:tcBorders>
              <w:top w:val="single" w:sz="4" w:space="0" w:color="auto"/>
              <w:left w:val="single" w:sz="4" w:space="0" w:color="auto"/>
              <w:right w:val="single" w:sz="4" w:space="0" w:color="auto"/>
            </w:tcBorders>
            <w:shd w:val="clear" w:color="auto" w:fill="FFFFFF"/>
            <w:vAlign w:val="center"/>
          </w:tcPr>
          <w:p w14:paraId="3790AAA6"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1 - NIIF</w:t>
            </w:r>
          </w:p>
        </w:tc>
      </w:tr>
      <w:tr w:rsidR="006E4F35" w:rsidRPr="00124F13" w14:paraId="71114288" w14:textId="77777777" w:rsidTr="00124F13">
        <w:trPr>
          <w:trHeight w:hRule="exact" w:val="1549"/>
          <w:jc w:val="center"/>
        </w:trPr>
        <w:tc>
          <w:tcPr>
            <w:tcW w:w="7944" w:type="dxa"/>
            <w:tcBorders>
              <w:top w:val="single" w:sz="4" w:space="0" w:color="auto"/>
              <w:left w:val="single" w:sz="4" w:space="0" w:color="auto"/>
            </w:tcBorders>
            <w:shd w:val="clear" w:color="auto" w:fill="FFFFFF"/>
            <w:vAlign w:val="center"/>
          </w:tcPr>
          <w:p w14:paraId="54B6F1E8"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 xml:space="preserve">Entidades que no sean emisores de valores, ni de interés público con una planta de personal menor o igual a 200 </w:t>
            </w:r>
            <w:r w:rsidRPr="00124F13">
              <w:rPr>
                <w:rFonts w:ascii="Verdana" w:hAnsi="Verdana"/>
                <w:sz w:val="20"/>
                <w:szCs w:val="20"/>
              </w:rPr>
              <w:t xml:space="preserve">trabajadores y que posean activos menores o iguales a 30.000 SMMLV, que sea subordinada o matriz de una entidad nacional que deba aplicar NIIF o de una entidad extranjera que aplique NIIF; o sucursal, asociada o negocio conjunto, de una entidad extranjera </w:t>
            </w:r>
            <w:r w:rsidRPr="00124F13">
              <w:rPr>
                <w:rFonts w:ascii="Verdana" w:hAnsi="Verdana"/>
                <w:sz w:val="20"/>
                <w:szCs w:val="20"/>
              </w:rPr>
              <w:t>que aplique NIIF plenas.</w:t>
            </w:r>
          </w:p>
        </w:tc>
        <w:tc>
          <w:tcPr>
            <w:tcW w:w="1752" w:type="dxa"/>
            <w:tcBorders>
              <w:top w:val="single" w:sz="4" w:space="0" w:color="auto"/>
              <w:left w:val="single" w:sz="4" w:space="0" w:color="auto"/>
              <w:right w:val="single" w:sz="4" w:space="0" w:color="auto"/>
            </w:tcBorders>
            <w:shd w:val="clear" w:color="auto" w:fill="FFFFFF"/>
            <w:vAlign w:val="center"/>
          </w:tcPr>
          <w:p w14:paraId="096B365D"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2 - NIIF para las PYMES (salvo que sea grupo 3)</w:t>
            </w:r>
          </w:p>
        </w:tc>
      </w:tr>
      <w:tr w:rsidR="006E4F35" w:rsidRPr="00124F13" w14:paraId="2CCD0D3A" w14:textId="77777777" w:rsidTr="00124F13">
        <w:trPr>
          <w:trHeight w:hRule="exact" w:val="1090"/>
          <w:jc w:val="center"/>
        </w:trPr>
        <w:tc>
          <w:tcPr>
            <w:tcW w:w="7944" w:type="dxa"/>
            <w:tcBorders>
              <w:top w:val="single" w:sz="4" w:space="0" w:color="auto"/>
              <w:left w:val="single" w:sz="4" w:space="0" w:color="auto"/>
            </w:tcBorders>
            <w:shd w:val="clear" w:color="auto" w:fill="FFFFFF"/>
            <w:vAlign w:val="center"/>
          </w:tcPr>
          <w:p w14:paraId="3E3256D0"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Entidades que no sean emisores de valores, ni de interés público con una planta de personal mayor a 200 trabajadores o que posean activos mayores a 30.000 SMMLV, que realicen i</w:t>
            </w:r>
            <w:r w:rsidRPr="00124F13">
              <w:rPr>
                <w:rFonts w:ascii="Verdana" w:hAnsi="Verdana"/>
                <w:sz w:val="20"/>
                <w:szCs w:val="20"/>
              </w:rPr>
              <w:t>mportaciones o exportaciones que representen más del 50% de las compras o de las ventas respectivamente.</w:t>
            </w:r>
          </w:p>
        </w:tc>
        <w:tc>
          <w:tcPr>
            <w:tcW w:w="1752" w:type="dxa"/>
            <w:tcBorders>
              <w:top w:val="single" w:sz="4" w:space="0" w:color="auto"/>
              <w:left w:val="single" w:sz="4" w:space="0" w:color="auto"/>
              <w:right w:val="single" w:sz="4" w:space="0" w:color="auto"/>
            </w:tcBorders>
            <w:shd w:val="clear" w:color="auto" w:fill="FFFFFF"/>
            <w:vAlign w:val="center"/>
          </w:tcPr>
          <w:p w14:paraId="2C3949B2"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1 - NIIF</w:t>
            </w:r>
          </w:p>
        </w:tc>
      </w:tr>
      <w:tr w:rsidR="006E4F35" w:rsidRPr="00124F13" w14:paraId="3A5971C9" w14:textId="77777777" w:rsidTr="00124F13">
        <w:trPr>
          <w:trHeight w:hRule="exact" w:val="1318"/>
          <w:jc w:val="center"/>
        </w:trPr>
        <w:tc>
          <w:tcPr>
            <w:tcW w:w="7944" w:type="dxa"/>
            <w:tcBorders>
              <w:top w:val="single" w:sz="4" w:space="0" w:color="auto"/>
              <w:left w:val="single" w:sz="4" w:space="0" w:color="auto"/>
              <w:bottom w:val="single" w:sz="4" w:space="0" w:color="auto"/>
            </w:tcBorders>
            <w:shd w:val="clear" w:color="auto" w:fill="FFFFFF"/>
            <w:vAlign w:val="center"/>
          </w:tcPr>
          <w:p w14:paraId="5181428F" w14:textId="77777777" w:rsidR="006E4F35" w:rsidRPr="00124F13" w:rsidRDefault="002D7BBB" w:rsidP="00E538A2">
            <w:pPr>
              <w:pStyle w:val="Sinespaciado"/>
              <w:jc w:val="both"/>
              <w:rPr>
                <w:rFonts w:ascii="Verdana" w:hAnsi="Verdana"/>
                <w:sz w:val="20"/>
                <w:szCs w:val="20"/>
              </w:rPr>
            </w:pPr>
            <w:r w:rsidRPr="00124F13">
              <w:rPr>
                <w:rFonts w:ascii="Verdana" w:hAnsi="Verdana"/>
                <w:sz w:val="20"/>
                <w:szCs w:val="20"/>
              </w:rPr>
              <w:t xml:space="preserve">Entidades que no sean emisores de valores, ni de interés público con una planta de personal menor o igual a 200 trabajadores y que </w:t>
            </w:r>
            <w:r w:rsidRPr="00124F13">
              <w:rPr>
                <w:rFonts w:ascii="Verdana" w:hAnsi="Verdana"/>
                <w:sz w:val="20"/>
                <w:szCs w:val="20"/>
              </w:rPr>
              <w:t>posean activos menores o iguales a 30.000 SMMLV, que realicen importaciones o exportaciones que representen más del 50% de las compras o de las ventas respectivamente.</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14:paraId="66E355A4" w14:textId="77777777" w:rsidR="006E4F35" w:rsidRPr="00124F13" w:rsidRDefault="002D7BBB" w:rsidP="00124F13">
            <w:pPr>
              <w:pStyle w:val="Sinespaciado"/>
              <w:jc w:val="center"/>
              <w:rPr>
                <w:rFonts w:ascii="Verdana" w:hAnsi="Verdana"/>
                <w:sz w:val="20"/>
                <w:szCs w:val="20"/>
              </w:rPr>
            </w:pPr>
            <w:r w:rsidRPr="00124F13">
              <w:rPr>
                <w:rFonts w:ascii="Verdana" w:hAnsi="Verdana"/>
                <w:sz w:val="20"/>
                <w:szCs w:val="20"/>
              </w:rPr>
              <w:t>Grupo 2 - NIIF para las PYMES (salvo que sea grupo 3)</w:t>
            </w:r>
          </w:p>
        </w:tc>
      </w:tr>
    </w:tbl>
    <w:p w14:paraId="146EF381" w14:textId="77777777" w:rsidR="006E4F35" w:rsidRPr="00E538A2" w:rsidRDefault="006E4F35" w:rsidP="00E538A2">
      <w:pPr>
        <w:pStyle w:val="Sinespaciado"/>
        <w:jc w:val="both"/>
        <w:rPr>
          <w:rFonts w:ascii="Verdana" w:hAnsi="Verdana"/>
        </w:rPr>
      </w:pPr>
    </w:p>
    <w:p w14:paraId="35DDD2AF" w14:textId="77777777" w:rsidR="00124F13" w:rsidRDefault="002D7BBB" w:rsidP="00E538A2">
      <w:pPr>
        <w:pStyle w:val="Sinespaciado"/>
        <w:numPr>
          <w:ilvl w:val="0"/>
          <w:numId w:val="4"/>
        </w:numPr>
        <w:jc w:val="both"/>
        <w:rPr>
          <w:rFonts w:ascii="Verdana" w:hAnsi="Verdana"/>
          <w:b/>
          <w:bCs/>
          <w:i/>
          <w:iCs/>
          <w:sz w:val="22"/>
          <w:szCs w:val="22"/>
        </w:rPr>
      </w:pPr>
      <w:bookmarkStart w:id="3" w:name="bookmark2"/>
      <w:r w:rsidRPr="00124F13">
        <w:rPr>
          <w:rFonts w:ascii="Verdana" w:hAnsi="Verdana"/>
          <w:b/>
          <w:bCs/>
          <w:i/>
          <w:iCs/>
          <w:sz w:val="22"/>
          <w:szCs w:val="22"/>
        </w:rPr>
        <w:t xml:space="preserve">¿En qué momento se debe </w:t>
      </w:r>
      <w:r w:rsidRPr="00124F13">
        <w:rPr>
          <w:rFonts w:ascii="Verdana" w:hAnsi="Verdana"/>
          <w:b/>
          <w:bCs/>
          <w:i/>
          <w:iCs/>
          <w:sz w:val="22"/>
          <w:szCs w:val="22"/>
        </w:rPr>
        <w:t>reconocer una cuenta por cobrar un abogado o contador que ejerce profesión liberal?</w:t>
      </w:r>
      <w:bookmarkStart w:id="4" w:name="bookmark3"/>
      <w:bookmarkEnd w:id="3"/>
    </w:p>
    <w:p w14:paraId="01744745" w14:textId="77777777" w:rsidR="00124F13" w:rsidRDefault="00124F13" w:rsidP="00124F13">
      <w:pPr>
        <w:pStyle w:val="Sinespaciado"/>
        <w:ind w:left="720"/>
        <w:jc w:val="both"/>
        <w:rPr>
          <w:rFonts w:ascii="Verdana" w:hAnsi="Verdana"/>
          <w:b/>
          <w:bCs/>
          <w:i/>
          <w:iCs/>
          <w:sz w:val="22"/>
          <w:szCs w:val="22"/>
        </w:rPr>
      </w:pPr>
    </w:p>
    <w:p w14:paraId="75377737" w14:textId="19E85792" w:rsidR="006E4F35" w:rsidRPr="00124F13" w:rsidRDefault="002D7BBB" w:rsidP="00E538A2">
      <w:pPr>
        <w:pStyle w:val="Sinespaciado"/>
        <w:numPr>
          <w:ilvl w:val="0"/>
          <w:numId w:val="4"/>
        </w:numPr>
        <w:jc w:val="both"/>
        <w:rPr>
          <w:rFonts w:ascii="Verdana" w:hAnsi="Verdana"/>
          <w:b/>
          <w:bCs/>
          <w:i/>
          <w:iCs/>
          <w:sz w:val="22"/>
          <w:szCs w:val="22"/>
        </w:rPr>
      </w:pPr>
      <w:r w:rsidRPr="00124F13">
        <w:rPr>
          <w:rFonts w:ascii="Verdana" w:hAnsi="Verdana"/>
          <w:b/>
          <w:bCs/>
          <w:i/>
          <w:iCs/>
          <w:sz w:val="22"/>
          <w:szCs w:val="22"/>
        </w:rPr>
        <w:t>¿En qué momento se debe reconocer un ingreso por concepto de honorarios que perciba un abogado o contador público en ejercicio de su profesión liberal?</w:t>
      </w:r>
      <w:bookmarkEnd w:id="4"/>
    </w:p>
    <w:p w14:paraId="55CF6EDB" w14:textId="77777777" w:rsidR="00124F13" w:rsidRDefault="00124F13" w:rsidP="00E538A2">
      <w:pPr>
        <w:pStyle w:val="Sinespaciado"/>
        <w:jc w:val="both"/>
        <w:rPr>
          <w:rFonts w:ascii="Verdana" w:hAnsi="Verdana"/>
        </w:rPr>
      </w:pPr>
    </w:p>
    <w:p w14:paraId="3B95D2AA" w14:textId="77777777" w:rsidR="0041666E" w:rsidRDefault="002D7BBB" w:rsidP="00E538A2">
      <w:pPr>
        <w:pStyle w:val="Sinespaciado"/>
        <w:jc w:val="both"/>
        <w:rPr>
          <w:rFonts w:ascii="Verdana" w:hAnsi="Verdana"/>
        </w:rPr>
      </w:pPr>
      <w:r w:rsidRPr="00E538A2">
        <w:rPr>
          <w:rFonts w:ascii="Verdana" w:hAnsi="Verdana"/>
        </w:rPr>
        <w:t xml:space="preserve">Respecto a las </w:t>
      </w:r>
      <w:r w:rsidRPr="00E538A2">
        <w:rPr>
          <w:rFonts w:ascii="Verdana" w:hAnsi="Verdana"/>
        </w:rPr>
        <w:t>preguntas 3 y 4, tratándose de cuentas por cobrar, para su contabi</w:t>
      </w:r>
      <w:r w:rsidR="00124F13">
        <w:rPr>
          <w:rFonts w:ascii="Verdana" w:hAnsi="Verdana"/>
        </w:rPr>
        <w:t>l</w:t>
      </w:r>
      <w:r w:rsidRPr="00E538A2">
        <w:rPr>
          <w:rFonts w:ascii="Verdana" w:hAnsi="Verdana"/>
        </w:rPr>
        <w:t xml:space="preserve">ización como activo o ingreso, se deberán cumplir los criterios de reconocimiento establecidos en la normatividad </w:t>
      </w:r>
      <w:r w:rsidRPr="00E538A2">
        <w:rPr>
          <w:rFonts w:ascii="Verdana" w:hAnsi="Verdana"/>
        </w:rPr>
        <w:lastRenderedPageBreak/>
        <w:t>vigente</w:t>
      </w:r>
      <w:r w:rsidR="0041666E">
        <w:rPr>
          <w:rFonts w:ascii="Verdana" w:hAnsi="Verdana"/>
        </w:rPr>
        <w:t xml:space="preserve"> </w:t>
      </w:r>
      <w:r w:rsidRPr="00E538A2">
        <w:rPr>
          <w:rFonts w:ascii="Verdana" w:hAnsi="Verdana"/>
        </w:rPr>
        <w:t>(D.U.R. 2420 de 2015), Los cuales detallamos a continuación:</w:t>
      </w:r>
    </w:p>
    <w:p w14:paraId="39C33721" w14:textId="77777777" w:rsidR="0041666E" w:rsidRDefault="0041666E" w:rsidP="00E538A2">
      <w:pPr>
        <w:pStyle w:val="Sinespaciado"/>
        <w:jc w:val="both"/>
      </w:pPr>
    </w:p>
    <w:p w14:paraId="5E1EC98B" w14:textId="1126ADA8" w:rsidR="006E4F35" w:rsidRDefault="002D7BBB" w:rsidP="00E538A2">
      <w:pPr>
        <w:pStyle w:val="Sinespaciado"/>
        <w:jc w:val="both"/>
        <w:rPr>
          <w:rStyle w:val="LeyendadelatablaNegrita"/>
          <w:rFonts w:ascii="Verdana" w:hAnsi="Verdana"/>
          <w:sz w:val="24"/>
          <w:szCs w:val="24"/>
        </w:rPr>
      </w:pPr>
      <w:r w:rsidRPr="00E538A2">
        <w:rPr>
          <w:rStyle w:val="LeyendadelatablaNegrita"/>
          <w:rFonts w:ascii="Verdana" w:hAnsi="Verdana"/>
          <w:sz w:val="24"/>
          <w:szCs w:val="24"/>
        </w:rPr>
        <w:t>CUENT</w:t>
      </w:r>
      <w:r w:rsidRPr="00E538A2">
        <w:rPr>
          <w:rStyle w:val="LeyendadelatablaNegrita"/>
          <w:rFonts w:ascii="Verdana" w:hAnsi="Verdana"/>
          <w:sz w:val="24"/>
          <w:szCs w:val="24"/>
        </w:rPr>
        <w:t>AS POR COBRAR</w:t>
      </w:r>
    </w:p>
    <w:p w14:paraId="13E0B025" w14:textId="77777777" w:rsidR="0041666E" w:rsidRPr="00E538A2" w:rsidRDefault="0041666E" w:rsidP="00E538A2">
      <w:pPr>
        <w:pStyle w:val="Sinespaciado"/>
        <w:jc w:val="both"/>
        <w:rPr>
          <w:rFonts w:ascii="Verdana" w:hAnsi="Verdan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2419"/>
        <w:gridCol w:w="2419"/>
        <w:gridCol w:w="2429"/>
      </w:tblGrid>
      <w:tr w:rsidR="006E4F35" w:rsidRPr="0041666E" w14:paraId="25543200" w14:textId="77777777" w:rsidTr="0041666E">
        <w:trPr>
          <w:trHeight w:hRule="exact" w:val="283"/>
          <w:jc w:val="center"/>
        </w:trPr>
        <w:tc>
          <w:tcPr>
            <w:tcW w:w="2429" w:type="dxa"/>
            <w:tcBorders>
              <w:top w:val="single" w:sz="4" w:space="0" w:color="auto"/>
              <w:left w:val="single" w:sz="4" w:space="0" w:color="auto"/>
            </w:tcBorders>
            <w:shd w:val="clear" w:color="auto" w:fill="FFFFFF"/>
            <w:vAlign w:val="center"/>
          </w:tcPr>
          <w:p w14:paraId="5E26BEB9"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Detalle</w:t>
            </w:r>
          </w:p>
        </w:tc>
        <w:tc>
          <w:tcPr>
            <w:tcW w:w="2419" w:type="dxa"/>
            <w:tcBorders>
              <w:top w:val="single" w:sz="4" w:space="0" w:color="auto"/>
              <w:left w:val="single" w:sz="4" w:space="0" w:color="auto"/>
            </w:tcBorders>
            <w:shd w:val="clear" w:color="auto" w:fill="FFFFFF"/>
            <w:vAlign w:val="center"/>
          </w:tcPr>
          <w:p w14:paraId="0F6FA843"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1</w:t>
            </w:r>
          </w:p>
        </w:tc>
        <w:tc>
          <w:tcPr>
            <w:tcW w:w="2419" w:type="dxa"/>
            <w:tcBorders>
              <w:top w:val="single" w:sz="4" w:space="0" w:color="auto"/>
              <w:left w:val="single" w:sz="4" w:space="0" w:color="auto"/>
            </w:tcBorders>
            <w:shd w:val="clear" w:color="auto" w:fill="FFFFFF"/>
            <w:vAlign w:val="center"/>
          </w:tcPr>
          <w:p w14:paraId="4996B8C7"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2</w:t>
            </w:r>
          </w:p>
        </w:tc>
        <w:tc>
          <w:tcPr>
            <w:tcW w:w="2429" w:type="dxa"/>
            <w:tcBorders>
              <w:top w:val="single" w:sz="4" w:space="0" w:color="auto"/>
              <w:left w:val="single" w:sz="4" w:space="0" w:color="auto"/>
              <w:right w:val="single" w:sz="4" w:space="0" w:color="auto"/>
            </w:tcBorders>
            <w:shd w:val="clear" w:color="auto" w:fill="FFFFFF"/>
            <w:vAlign w:val="center"/>
          </w:tcPr>
          <w:p w14:paraId="363B8B1A"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3</w:t>
            </w:r>
          </w:p>
        </w:tc>
      </w:tr>
      <w:tr w:rsidR="006E4F35" w:rsidRPr="0041666E" w14:paraId="5F71517D" w14:textId="77777777" w:rsidTr="0041666E">
        <w:trPr>
          <w:trHeight w:hRule="exact" w:val="1090"/>
          <w:jc w:val="center"/>
        </w:trPr>
        <w:tc>
          <w:tcPr>
            <w:tcW w:w="2429" w:type="dxa"/>
            <w:tcBorders>
              <w:top w:val="single" w:sz="4" w:space="0" w:color="auto"/>
              <w:left w:val="single" w:sz="4" w:space="0" w:color="auto"/>
            </w:tcBorders>
            <w:shd w:val="clear" w:color="auto" w:fill="FFFFFF"/>
            <w:vAlign w:val="center"/>
          </w:tcPr>
          <w:p w14:paraId="2A0EDD67" w14:textId="77777777" w:rsidR="006E4F35" w:rsidRPr="0041666E" w:rsidRDefault="002D7BBB" w:rsidP="00E538A2">
            <w:pPr>
              <w:pStyle w:val="Sinespaciado"/>
              <w:jc w:val="both"/>
              <w:rPr>
                <w:rFonts w:ascii="Verdana" w:hAnsi="Verdana"/>
                <w:sz w:val="20"/>
                <w:szCs w:val="20"/>
              </w:rPr>
            </w:pPr>
            <w:r w:rsidRPr="0041666E">
              <w:rPr>
                <w:rStyle w:val="Cuerpodeltexto2Negrita"/>
                <w:rFonts w:ascii="Verdana" w:hAnsi="Verdana"/>
                <w:sz w:val="20"/>
                <w:szCs w:val="20"/>
              </w:rPr>
              <w:t>Medición inicial</w:t>
            </w:r>
          </w:p>
        </w:tc>
        <w:tc>
          <w:tcPr>
            <w:tcW w:w="2419" w:type="dxa"/>
            <w:tcBorders>
              <w:top w:val="single" w:sz="4" w:space="0" w:color="auto"/>
              <w:left w:val="single" w:sz="4" w:space="0" w:color="auto"/>
            </w:tcBorders>
            <w:shd w:val="clear" w:color="auto" w:fill="FFFFFF"/>
            <w:vAlign w:val="center"/>
          </w:tcPr>
          <w:p w14:paraId="17508320"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1 - DUR 2420/2015</w:t>
            </w:r>
          </w:p>
          <w:p w14:paraId="06C319C7"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NIIF 9 - Párrafo 5.1.1 al 5.1.1A</w:t>
            </w:r>
          </w:p>
        </w:tc>
        <w:tc>
          <w:tcPr>
            <w:tcW w:w="2419" w:type="dxa"/>
            <w:tcBorders>
              <w:top w:val="single" w:sz="4" w:space="0" w:color="auto"/>
              <w:left w:val="single" w:sz="4" w:space="0" w:color="auto"/>
            </w:tcBorders>
            <w:shd w:val="clear" w:color="auto" w:fill="FFFFFF"/>
            <w:vAlign w:val="center"/>
          </w:tcPr>
          <w:p w14:paraId="05C08EC9"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2 - DUR 2420/2015</w:t>
            </w:r>
          </w:p>
          <w:p w14:paraId="47325DE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Sección 11 - Párrafo 1.13</w:t>
            </w:r>
          </w:p>
        </w:tc>
        <w:tc>
          <w:tcPr>
            <w:tcW w:w="2429" w:type="dxa"/>
            <w:tcBorders>
              <w:top w:val="single" w:sz="4" w:space="0" w:color="auto"/>
              <w:left w:val="single" w:sz="4" w:space="0" w:color="auto"/>
              <w:right w:val="single" w:sz="4" w:space="0" w:color="auto"/>
            </w:tcBorders>
            <w:shd w:val="clear" w:color="auto" w:fill="FFFFFF"/>
            <w:vAlign w:val="center"/>
          </w:tcPr>
          <w:p w14:paraId="724A540A"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3 - DUR 2420/2015</w:t>
            </w:r>
          </w:p>
          <w:p w14:paraId="28870902"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Cap. 3, 7 Párrafos 7.3 y 7.4</w:t>
            </w:r>
          </w:p>
        </w:tc>
      </w:tr>
      <w:tr w:rsidR="006E4F35" w:rsidRPr="0041666E" w14:paraId="59CF34C0" w14:textId="77777777" w:rsidTr="0041666E">
        <w:trPr>
          <w:trHeight w:hRule="exact" w:val="1090"/>
          <w:jc w:val="center"/>
        </w:trPr>
        <w:tc>
          <w:tcPr>
            <w:tcW w:w="2429" w:type="dxa"/>
            <w:tcBorders>
              <w:top w:val="single" w:sz="4" w:space="0" w:color="auto"/>
              <w:left w:val="single" w:sz="4" w:space="0" w:color="auto"/>
            </w:tcBorders>
            <w:shd w:val="clear" w:color="auto" w:fill="FFFFFF"/>
            <w:vAlign w:val="center"/>
          </w:tcPr>
          <w:p w14:paraId="1950185B" w14:textId="77777777" w:rsidR="006E4F35" w:rsidRPr="0041666E" w:rsidRDefault="002D7BBB" w:rsidP="00E538A2">
            <w:pPr>
              <w:pStyle w:val="Sinespaciado"/>
              <w:jc w:val="both"/>
              <w:rPr>
                <w:rFonts w:ascii="Verdana" w:hAnsi="Verdana"/>
                <w:sz w:val="20"/>
                <w:szCs w:val="20"/>
              </w:rPr>
            </w:pPr>
            <w:r w:rsidRPr="0041666E">
              <w:rPr>
                <w:rStyle w:val="Cuerpodeltexto2Negrita"/>
                <w:rFonts w:ascii="Verdana" w:hAnsi="Verdana"/>
                <w:sz w:val="20"/>
                <w:szCs w:val="20"/>
              </w:rPr>
              <w:t>Medición posterior</w:t>
            </w:r>
          </w:p>
        </w:tc>
        <w:tc>
          <w:tcPr>
            <w:tcW w:w="2419" w:type="dxa"/>
            <w:tcBorders>
              <w:top w:val="single" w:sz="4" w:space="0" w:color="auto"/>
              <w:left w:val="single" w:sz="4" w:space="0" w:color="auto"/>
            </w:tcBorders>
            <w:shd w:val="clear" w:color="auto" w:fill="FFFFFF"/>
            <w:vAlign w:val="center"/>
          </w:tcPr>
          <w:p w14:paraId="30C31CC6"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1 - DUR 2420/2015</w:t>
            </w:r>
          </w:p>
          <w:p w14:paraId="483396DF"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NIIF 9 - Párrafo 5.2.1 al 5.2.3</w:t>
            </w:r>
          </w:p>
        </w:tc>
        <w:tc>
          <w:tcPr>
            <w:tcW w:w="2419" w:type="dxa"/>
            <w:tcBorders>
              <w:top w:val="single" w:sz="4" w:space="0" w:color="auto"/>
              <w:left w:val="single" w:sz="4" w:space="0" w:color="auto"/>
            </w:tcBorders>
            <w:shd w:val="clear" w:color="auto" w:fill="FFFFFF"/>
            <w:vAlign w:val="center"/>
          </w:tcPr>
          <w:p w14:paraId="7E2FB2AA"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2 - DUR 2420/2015</w:t>
            </w:r>
          </w:p>
          <w:p w14:paraId="06E612C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Sección 11 - Párrafo 11.14/11.33/</w:t>
            </w:r>
          </w:p>
        </w:tc>
        <w:tc>
          <w:tcPr>
            <w:tcW w:w="2429" w:type="dxa"/>
            <w:tcBorders>
              <w:top w:val="single" w:sz="4" w:space="0" w:color="auto"/>
              <w:left w:val="single" w:sz="4" w:space="0" w:color="auto"/>
              <w:right w:val="single" w:sz="4" w:space="0" w:color="auto"/>
            </w:tcBorders>
            <w:shd w:val="clear" w:color="auto" w:fill="FFFFFF"/>
            <w:vAlign w:val="center"/>
          </w:tcPr>
          <w:p w14:paraId="436C23C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3 - DUR 2420/2015</w:t>
            </w:r>
          </w:p>
          <w:p w14:paraId="26A66DC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Cap. 3, 7 Párrafos 7.5 y 7.6</w:t>
            </w:r>
          </w:p>
        </w:tc>
      </w:tr>
      <w:tr w:rsidR="006E4F35" w:rsidRPr="0041666E" w14:paraId="0A5E0B98" w14:textId="77777777" w:rsidTr="0041666E">
        <w:trPr>
          <w:trHeight w:hRule="exact" w:val="1099"/>
          <w:jc w:val="center"/>
        </w:trPr>
        <w:tc>
          <w:tcPr>
            <w:tcW w:w="2429" w:type="dxa"/>
            <w:tcBorders>
              <w:top w:val="single" w:sz="4" w:space="0" w:color="auto"/>
              <w:left w:val="single" w:sz="4" w:space="0" w:color="auto"/>
              <w:bottom w:val="single" w:sz="4" w:space="0" w:color="auto"/>
            </w:tcBorders>
            <w:shd w:val="clear" w:color="auto" w:fill="FFFFFF"/>
            <w:vAlign w:val="center"/>
          </w:tcPr>
          <w:p w14:paraId="7D279D70" w14:textId="77777777" w:rsidR="006E4F35" w:rsidRPr="0041666E" w:rsidRDefault="002D7BBB" w:rsidP="00E538A2">
            <w:pPr>
              <w:pStyle w:val="Sinespaciado"/>
              <w:jc w:val="both"/>
              <w:rPr>
                <w:rFonts w:ascii="Verdana" w:hAnsi="Verdana"/>
                <w:sz w:val="20"/>
                <w:szCs w:val="20"/>
              </w:rPr>
            </w:pPr>
            <w:r w:rsidRPr="0041666E">
              <w:rPr>
                <w:rStyle w:val="Cuerpodeltexto2Negrita"/>
                <w:rFonts w:ascii="Verdana" w:hAnsi="Verdana"/>
                <w:sz w:val="20"/>
                <w:szCs w:val="20"/>
              </w:rPr>
              <w:t>Clasificación Activos financieros</w:t>
            </w:r>
          </w:p>
        </w:tc>
        <w:tc>
          <w:tcPr>
            <w:tcW w:w="2419" w:type="dxa"/>
            <w:tcBorders>
              <w:top w:val="single" w:sz="4" w:space="0" w:color="auto"/>
              <w:left w:val="single" w:sz="4" w:space="0" w:color="auto"/>
              <w:bottom w:val="single" w:sz="4" w:space="0" w:color="auto"/>
            </w:tcBorders>
            <w:shd w:val="clear" w:color="auto" w:fill="FFFFFF"/>
            <w:vAlign w:val="center"/>
          </w:tcPr>
          <w:p w14:paraId="73CFBCE8"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1 - DUR 2420/2015</w:t>
            </w:r>
          </w:p>
          <w:p w14:paraId="038F0DCA"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NIIF 9 - Párrafos 4.1.1 al 4.</w:t>
            </w:r>
            <w:r w:rsidRPr="0041666E">
              <w:rPr>
                <w:rFonts w:ascii="Verdana" w:hAnsi="Verdana"/>
                <w:sz w:val="20"/>
                <w:szCs w:val="20"/>
              </w:rPr>
              <w:t>1.4</w:t>
            </w:r>
          </w:p>
        </w:tc>
        <w:tc>
          <w:tcPr>
            <w:tcW w:w="2419" w:type="dxa"/>
            <w:tcBorders>
              <w:top w:val="single" w:sz="4" w:space="0" w:color="auto"/>
              <w:left w:val="single" w:sz="4" w:space="0" w:color="auto"/>
              <w:bottom w:val="single" w:sz="4" w:space="0" w:color="auto"/>
            </w:tcBorders>
            <w:shd w:val="clear" w:color="auto" w:fill="FFFFFF"/>
            <w:vAlign w:val="center"/>
          </w:tcPr>
          <w:p w14:paraId="2210BB74"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2 - DUR 2420/2015</w:t>
            </w:r>
          </w:p>
          <w:p w14:paraId="76F40609"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Sección 11 - Párrafo 11.3 al 11.5</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0A98909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3 - DUR</w:t>
            </w:r>
          </w:p>
          <w:p w14:paraId="19F0AEE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2420/2015</w:t>
            </w:r>
          </w:p>
          <w:p w14:paraId="41739669"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Cap. 3, 7 Párrafo 3.5</w:t>
            </w:r>
          </w:p>
        </w:tc>
      </w:tr>
    </w:tbl>
    <w:p w14:paraId="54EF8AB4" w14:textId="77777777" w:rsidR="006E4F35" w:rsidRPr="00E538A2" w:rsidRDefault="006E4F35" w:rsidP="00E538A2">
      <w:pPr>
        <w:pStyle w:val="Sinespaciado"/>
        <w:jc w:val="both"/>
        <w:rPr>
          <w:rFonts w:ascii="Verdana" w:hAnsi="Verdana"/>
        </w:rPr>
      </w:pPr>
    </w:p>
    <w:p w14:paraId="60F168CF" w14:textId="2DD23211" w:rsidR="006E4F35" w:rsidRDefault="002D7BBB" w:rsidP="00E538A2">
      <w:pPr>
        <w:pStyle w:val="Sinespaciado"/>
        <w:jc w:val="both"/>
        <w:rPr>
          <w:rFonts w:ascii="Verdana" w:hAnsi="Verdana"/>
          <w:b/>
          <w:bCs/>
        </w:rPr>
      </w:pPr>
      <w:r w:rsidRPr="0041666E">
        <w:rPr>
          <w:rFonts w:ascii="Verdana" w:hAnsi="Verdana"/>
          <w:b/>
          <w:bCs/>
        </w:rPr>
        <w:t>INGRESOS</w:t>
      </w:r>
    </w:p>
    <w:p w14:paraId="73D7799C" w14:textId="77777777" w:rsidR="0041666E" w:rsidRPr="0041666E" w:rsidRDefault="0041666E" w:rsidP="00E538A2">
      <w:pPr>
        <w:pStyle w:val="Sinespaciado"/>
        <w:jc w:val="both"/>
        <w:rPr>
          <w:rFonts w:ascii="Verdana" w:hAnsi="Verdana"/>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2419"/>
        <w:gridCol w:w="2419"/>
        <w:gridCol w:w="2429"/>
      </w:tblGrid>
      <w:tr w:rsidR="006E4F35" w:rsidRPr="0041666E" w14:paraId="220C4C80" w14:textId="77777777" w:rsidTr="0041666E">
        <w:trPr>
          <w:trHeight w:hRule="exact" w:val="283"/>
          <w:jc w:val="center"/>
        </w:trPr>
        <w:tc>
          <w:tcPr>
            <w:tcW w:w="2429" w:type="dxa"/>
            <w:tcBorders>
              <w:top w:val="single" w:sz="4" w:space="0" w:color="auto"/>
              <w:left w:val="single" w:sz="4" w:space="0" w:color="auto"/>
            </w:tcBorders>
            <w:shd w:val="clear" w:color="auto" w:fill="FFFFFF"/>
            <w:vAlign w:val="center"/>
          </w:tcPr>
          <w:p w14:paraId="284ECA1B"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Detalle</w:t>
            </w:r>
          </w:p>
        </w:tc>
        <w:tc>
          <w:tcPr>
            <w:tcW w:w="2419" w:type="dxa"/>
            <w:tcBorders>
              <w:top w:val="single" w:sz="4" w:space="0" w:color="auto"/>
              <w:left w:val="single" w:sz="4" w:space="0" w:color="auto"/>
            </w:tcBorders>
            <w:shd w:val="clear" w:color="auto" w:fill="FFFFFF"/>
            <w:vAlign w:val="center"/>
          </w:tcPr>
          <w:p w14:paraId="71AC3FC7"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1</w:t>
            </w:r>
          </w:p>
        </w:tc>
        <w:tc>
          <w:tcPr>
            <w:tcW w:w="2419" w:type="dxa"/>
            <w:tcBorders>
              <w:top w:val="single" w:sz="4" w:space="0" w:color="auto"/>
              <w:left w:val="single" w:sz="4" w:space="0" w:color="auto"/>
            </w:tcBorders>
            <w:shd w:val="clear" w:color="auto" w:fill="FFFFFF"/>
            <w:vAlign w:val="center"/>
          </w:tcPr>
          <w:p w14:paraId="7817AA8D"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2</w:t>
            </w:r>
          </w:p>
        </w:tc>
        <w:tc>
          <w:tcPr>
            <w:tcW w:w="2429" w:type="dxa"/>
            <w:tcBorders>
              <w:top w:val="single" w:sz="4" w:space="0" w:color="auto"/>
              <w:left w:val="single" w:sz="4" w:space="0" w:color="auto"/>
              <w:right w:val="single" w:sz="4" w:space="0" w:color="auto"/>
            </w:tcBorders>
            <w:shd w:val="clear" w:color="auto" w:fill="FFFFFF"/>
            <w:vAlign w:val="center"/>
          </w:tcPr>
          <w:p w14:paraId="3EF6EDC4" w14:textId="77777777" w:rsidR="006E4F35" w:rsidRPr="0041666E" w:rsidRDefault="002D7BBB" w:rsidP="0041666E">
            <w:pPr>
              <w:pStyle w:val="Sinespaciado"/>
              <w:jc w:val="center"/>
              <w:rPr>
                <w:rFonts w:ascii="Verdana" w:hAnsi="Verdana"/>
                <w:sz w:val="20"/>
                <w:szCs w:val="20"/>
              </w:rPr>
            </w:pPr>
            <w:r w:rsidRPr="0041666E">
              <w:rPr>
                <w:rStyle w:val="Cuerpodeltexto2Negrita"/>
                <w:rFonts w:ascii="Verdana" w:hAnsi="Verdana"/>
                <w:sz w:val="20"/>
                <w:szCs w:val="20"/>
              </w:rPr>
              <w:t>Grupo No. 3</w:t>
            </w:r>
          </w:p>
        </w:tc>
      </w:tr>
      <w:tr w:rsidR="006E4F35" w:rsidRPr="0041666E" w14:paraId="4441A7E5" w14:textId="77777777" w:rsidTr="0041666E">
        <w:trPr>
          <w:trHeight w:hRule="exact" w:val="1099"/>
          <w:jc w:val="center"/>
        </w:trPr>
        <w:tc>
          <w:tcPr>
            <w:tcW w:w="2429" w:type="dxa"/>
            <w:tcBorders>
              <w:top w:val="single" w:sz="4" w:space="0" w:color="auto"/>
              <w:left w:val="single" w:sz="4" w:space="0" w:color="auto"/>
              <w:bottom w:val="single" w:sz="4" w:space="0" w:color="auto"/>
            </w:tcBorders>
            <w:shd w:val="clear" w:color="auto" w:fill="FFFFFF"/>
            <w:vAlign w:val="center"/>
          </w:tcPr>
          <w:p w14:paraId="4CDF8B3D" w14:textId="77777777" w:rsidR="006E4F35" w:rsidRPr="0041666E" w:rsidRDefault="002D7BBB" w:rsidP="00E538A2">
            <w:pPr>
              <w:pStyle w:val="Sinespaciado"/>
              <w:jc w:val="both"/>
              <w:rPr>
                <w:rFonts w:ascii="Verdana" w:hAnsi="Verdana"/>
                <w:sz w:val="20"/>
                <w:szCs w:val="20"/>
              </w:rPr>
            </w:pPr>
            <w:r w:rsidRPr="0041666E">
              <w:rPr>
                <w:rStyle w:val="Cuerpodeltexto2Negrita"/>
                <w:rFonts w:ascii="Verdana" w:hAnsi="Verdana"/>
                <w:sz w:val="20"/>
                <w:szCs w:val="20"/>
              </w:rPr>
              <w:t>Ingresos por prestación de servicios</w:t>
            </w:r>
          </w:p>
        </w:tc>
        <w:tc>
          <w:tcPr>
            <w:tcW w:w="2419" w:type="dxa"/>
            <w:tcBorders>
              <w:top w:val="single" w:sz="4" w:space="0" w:color="auto"/>
              <w:left w:val="single" w:sz="4" w:space="0" w:color="auto"/>
              <w:bottom w:val="single" w:sz="4" w:space="0" w:color="auto"/>
            </w:tcBorders>
            <w:shd w:val="clear" w:color="auto" w:fill="FFFFFF"/>
            <w:vAlign w:val="center"/>
          </w:tcPr>
          <w:p w14:paraId="36ED7A9A"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1 - DUR</w:t>
            </w:r>
          </w:p>
          <w:p w14:paraId="4F853ECF"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2420/2015</w:t>
            </w:r>
          </w:p>
          <w:p w14:paraId="45C7755F"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NIIF 15.</w:t>
            </w:r>
          </w:p>
        </w:tc>
        <w:tc>
          <w:tcPr>
            <w:tcW w:w="2419" w:type="dxa"/>
            <w:tcBorders>
              <w:top w:val="single" w:sz="4" w:space="0" w:color="auto"/>
              <w:left w:val="single" w:sz="4" w:space="0" w:color="auto"/>
              <w:bottom w:val="single" w:sz="4" w:space="0" w:color="auto"/>
            </w:tcBorders>
            <w:shd w:val="clear" w:color="auto" w:fill="FFFFFF"/>
            <w:vAlign w:val="center"/>
          </w:tcPr>
          <w:p w14:paraId="0FEEA61D"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 xml:space="preserve">Anexo 2 - DUR </w:t>
            </w:r>
            <w:r w:rsidRPr="0041666E">
              <w:rPr>
                <w:rFonts w:ascii="Verdana" w:hAnsi="Verdana"/>
                <w:sz w:val="20"/>
                <w:szCs w:val="20"/>
              </w:rPr>
              <w:t>2420/2015</w:t>
            </w:r>
          </w:p>
          <w:p w14:paraId="51676FE4"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Sección 23 - Párrafos 23.14, 23.15 y 23.16</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083C5101"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Anexo 3 - DUR</w:t>
            </w:r>
          </w:p>
          <w:p w14:paraId="0CFC384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2420/2015</w:t>
            </w:r>
          </w:p>
          <w:p w14:paraId="4308D0DE" w14:textId="77777777" w:rsidR="006E4F35" w:rsidRPr="0041666E" w:rsidRDefault="002D7BBB" w:rsidP="00E538A2">
            <w:pPr>
              <w:pStyle w:val="Sinespaciado"/>
              <w:jc w:val="both"/>
              <w:rPr>
                <w:rFonts w:ascii="Verdana" w:hAnsi="Verdana"/>
                <w:sz w:val="20"/>
                <w:szCs w:val="20"/>
              </w:rPr>
            </w:pPr>
            <w:r w:rsidRPr="0041666E">
              <w:rPr>
                <w:rFonts w:ascii="Verdana" w:hAnsi="Verdana"/>
                <w:sz w:val="20"/>
                <w:szCs w:val="20"/>
              </w:rPr>
              <w:t>Cap. 12 Párrafo 12.5</w:t>
            </w:r>
          </w:p>
        </w:tc>
      </w:tr>
    </w:tbl>
    <w:p w14:paraId="23476FA4" w14:textId="77777777" w:rsidR="006E4F35" w:rsidRPr="0041666E" w:rsidRDefault="006E4F35" w:rsidP="00E538A2">
      <w:pPr>
        <w:pStyle w:val="Sinespaciado"/>
        <w:jc w:val="both"/>
        <w:rPr>
          <w:rFonts w:ascii="Verdana" w:hAnsi="Verdana"/>
          <w:b/>
          <w:bCs/>
          <w:i/>
          <w:iCs/>
          <w:sz w:val="22"/>
          <w:szCs w:val="22"/>
        </w:rPr>
      </w:pPr>
    </w:p>
    <w:p w14:paraId="23E7A438" w14:textId="77777777" w:rsidR="0041666E" w:rsidRDefault="002D7BBB" w:rsidP="00E538A2">
      <w:pPr>
        <w:pStyle w:val="Sinespaciado"/>
        <w:numPr>
          <w:ilvl w:val="0"/>
          <w:numId w:val="4"/>
        </w:numPr>
        <w:jc w:val="both"/>
        <w:rPr>
          <w:rFonts w:ascii="Verdana" w:hAnsi="Verdana"/>
          <w:b/>
          <w:bCs/>
          <w:i/>
          <w:iCs/>
          <w:sz w:val="22"/>
          <w:szCs w:val="22"/>
        </w:rPr>
      </w:pPr>
      <w:r w:rsidRPr="0041666E">
        <w:rPr>
          <w:rFonts w:ascii="Verdana" w:hAnsi="Verdana"/>
          <w:b/>
          <w:bCs/>
          <w:i/>
          <w:iCs/>
          <w:sz w:val="22"/>
          <w:szCs w:val="22"/>
        </w:rPr>
        <w:t>Un abogado representa en un proceso de reparación directa a un grupo de personas, en el año 2015, el tribunal administrativo falla a favor del abogado y sus</w:t>
      </w:r>
      <w:r w:rsidRPr="0041666E">
        <w:rPr>
          <w:rFonts w:ascii="Verdana" w:hAnsi="Verdana"/>
          <w:b/>
          <w:bCs/>
          <w:i/>
          <w:iCs/>
          <w:sz w:val="22"/>
          <w:szCs w:val="22"/>
        </w:rPr>
        <w:t xml:space="preserve"> representantes. La entidad pública consigna el valor de la reparación directa en el año 2018 a la cuenta bancaria de propiedad del abogado. ¿En qué momento se reconoce el ingreso para el abogado, año 2015 o año 2018?</w:t>
      </w:r>
    </w:p>
    <w:p w14:paraId="241F49DE" w14:textId="77777777" w:rsidR="0041666E" w:rsidRDefault="0041666E" w:rsidP="0041666E">
      <w:pPr>
        <w:pStyle w:val="Sinespaciado"/>
        <w:ind w:left="720"/>
        <w:jc w:val="both"/>
        <w:rPr>
          <w:rFonts w:ascii="Verdana" w:hAnsi="Verdana"/>
          <w:b/>
          <w:bCs/>
          <w:i/>
          <w:iCs/>
          <w:sz w:val="22"/>
          <w:szCs w:val="22"/>
        </w:rPr>
      </w:pPr>
    </w:p>
    <w:p w14:paraId="45FE0547" w14:textId="0893AB4C" w:rsidR="006E4F35" w:rsidRPr="0041666E" w:rsidRDefault="002D7BBB" w:rsidP="00E538A2">
      <w:pPr>
        <w:pStyle w:val="Sinespaciado"/>
        <w:numPr>
          <w:ilvl w:val="0"/>
          <w:numId w:val="4"/>
        </w:numPr>
        <w:jc w:val="both"/>
        <w:rPr>
          <w:rFonts w:ascii="Verdana" w:hAnsi="Verdana"/>
          <w:b/>
          <w:bCs/>
          <w:i/>
          <w:iCs/>
          <w:sz w:val="22"/>
          <w:szCs w:val="22"/>
        </w:rPr>
      </w:pPr>
      <w:r w:rsidRPr="0041666E">
        <w:rPr>
          <w:rFonts w:ascii="Verdana" w:hAnsi="Verdana"/>
          <w:b/>
          <w:bCs/>
          <w:i/>
          <w:iCs/>
          <w:sz w:val="22"/>
          <w:szCs w:val="22"/>
        </w:rPr>
        <w:t xml:space="preserve">Un abogado tiene pendiente que le </w:t>
      </w:r>
      <w:r w:rsidRPr="0041666E">
        <w:rPr>
          <w:rFonts w:ascii="Verdana" w:hAnsi="Verdana"/>
          <w:b/>
          <w:bCs/>
          <w:i/>
          <w:iCs/>
          <w:sz w:val="22"/>
          <w:szCs w:val="22"/>
        </w:rPr>
        <w:t>cancelen unos honorarios por haber representado a un grupo de personas en un proceso de reparación directa que falló en el año 2019 a favor del abogado. La Entidad pública gira el valor de la reparación directa en el año 2021. ¿En el año 2019 el abogado pu</w:t>
      </w:r>
      <w:r w:rsidRPr="0041666E">
        <w:rPr>
          <w:rFonts w:ascii="Verdana" w:hAnsi="Verdana"/>
          <w:b/>
          <w:bCs/>
          <w:i/>
          <w:iCs/>
          <w:sz w:val="22"/>
          <w:szCs w:val="22"/>
        </w:rPr>
        <w:t>ede reconocer como una cuenta por cobrar sus honorarios a sus representados o estos valores se reconocen hasta el año 2021, fecha en que la entidad cance</w:t>
      </w:r>
      <w:r w:rsidRPr="0041666E">
        <w:rPr>
          <w:rStyle w:val="Cuerpodeltexto69ptoSinnegrita"/>
          <w:rFonts w:ascii="Verdana" w:hAnsi="Verdana"/>
          <w:b w:val="0"/>
          <w:bCs w:val="0"/>
          <w:i w:val="0"/>
          <w:iCs w:val="0"/>
          <w:sz w:val="22"/>
          <w:szCs w:val="22"/>
        </w:rPr>
        <w:t>l</w:t>
      </w:r>
      <w:r w:rsidRPr="0041666E">
        <w:rPr>
          <w:rFonts w:ascii="Verdana" w:hAnsi="Verdana"/>
          <w:b/>
          <w:bCs/>
          <w:i/>
          <w:iCs/>
          <w:sz w:val="22"/>
          <w:szCs w:val="22"/>
        </w:rPr>
        <w:t>ó la reparación directa y se encuentran consignados en la cuenta del abogado, para su posterior giro a</w:t>
      </w:r>
      <w:r w:rsidRPr="0041666E">
        <w:rPr>
          <w:rFonts w:ascii="Verdana" w:hAnsi="Verdana"/>
          <w:b/>
          <w:bCs/>
          <w:i/>
          <w:iCs/>
          <w:sz w:val="22"/>
          <w:szCs w:val="22"/>
        </w:rPr>
        <w:t xml:space="preserve"> sus representados?</w:t>
      </w:r>
    </w:p>
    <w:p w14:paraId="27D194DD" w14:textId="421013AD" w:rsidR="006E4F35" w:rsidRPr="00E538A2" w:rsidRDefault="002D7BBB" w:rsidP="00E538A2">
      <w:pPr>
        <w:pStyle w:val="Sinespaciado"/>
        <w:jc w:val="both"/>
        <w:rPr>
          <w:rFonts w:ascii="Verdana" w:hAnsi="Verdana"/>
        </w:rPr>
      </w:pPr>
      <w:r w:rsidRPr="00E538A2">
        <w:rPr>
          <w:rFonts w:ascii="Verdana" w:hAnsi="Verdana"/>
        </w:rPr>
        <w:lastRenderedPageBreak/>
        <w:t>Acerca de las inquietudes 5 y 6, es preciso aclarar que el CTCP no resuelve casos de manera particular, sino, como se expuso inicialmente las respuestas son en forma general y no van enfocados en casos</w:t>
      </w:r>
      <w:r w:rsidR="0041666E">
        <w:rPr>
          <w:rFonts w:ascii="Verdana" w:hAnsi="Verdana"/>
        </w:rPr>
        <w:t xml:space="preserve"> </w:t>
      </w:r>
      <w:r w:rsidRPr="00E538A2">
        <w:rPr>
          <w:rFonts w:ascii="Verdana" w:hAnsi="Verdana"/>
        </w:rPr>
        <w:t>específicos. Para efectos de dar r</w:t>
      </w:r>
      <w:r w:rsidRPr="00E538A2">
        <w:rPr>
          <w:rFonts w:ascii="Verdana" w:hAnsi="Verdana"/>
        </w:rPr>
        <w:t xml:space="preserve">espuesta a dichas inquietudes invitamos al consultante a revisar </w:t>
      </w:r>
      <w:r w:rsidR="0041666E">
        <w:rPr>
          <w:rFonts w:ascii="Verdana" w:hAnsi="Verdana"/>
        </w:rPr>
        <w:t>l</w:t>
      </w:r>
      <w:r w:rsidRPr="00E538A2">
        <w:rPr>
          <w:rFonts w:ascii="Verdana" w:hAnsi="Verdana"/>
        </w:rPr>
        <w:t xml:space="preserve">os marcos normativos enunciados en </w:t>
      </w:r>
      <w:r w:rsidR="0041666E">
        <w:rPr>
          <w:rFonts w:ascii="Verdana" w:hAnsi="Verdana"/>
        </w:rPr>
        <w:t>el</w:t>
      </w:r>
      <w:r w:rsidRPr="00E538A2">
        <w:rPr>
          <w:rFonts w:ascii="Verdana" w:hAnsi="Verdana"/>
        </w:rPr>
        <w:t xml:space="preserve"> punto anterior y </w:t>
      </w:r>
      <w:r w:rsidR="0041666E">
        <w:rPr>
          <w:rFonts w:ascii="Verdana" w:hAnsi="Verdana"/>
        </w:rPr>
        <w:t>lo</w:t>
      </w:r>
      <w:r w:rsidRPr="00E538A2">
        <w:rPr>
          <w:rFonts w:ascii="Verdana" w:hAnsi="Verdana"/>
        </w:rPr>
        <w:t xml:space="preserve"> tocante a </w:t>
      </w:r>
      <w:r w:rsidR="0041666E">
        <w:rPr>
          <w:rFonts w:ascii="Verdana" w:hAnsi="Verdana"/>
        </w:rPr>
        <w:t>la</w:t>
      </w:r>
      <w:r w:rsidRPr="00E538A2">
        <w:rPr>
          <w:rFonts w:ascii="Verdana" w:hAnsi="Verdana"/>
        </w:rPr>
        <w:t xml:space="preserve"> ap</w:t>
      </w:r>
      <w:r w:rsidR="0041666E">
        <w:rPr>
          <w:rFonts w:ascii="Verdana" w:hAnsi="Verdana"/>
        </w:rPr>
        <w:t>l</w:t>
      </w:r>
      <w:r w:rsidRPr="00E538A2">
        <w:rPr>
          <w:rFonts w:ascii="Verdana" w:hAnsi="Verdana"/>
        </w:rPr>
        <w:t xml:space="preserve">icación de </w:t>
      </w:r>
      <w:r w:rsidR="0041666E">
        <w:rPr>
          <w:rFonts w:ascii="Verdana" w:hAnsi="Verdana"/>
        </w:rPr>
        <w:t>la</w:t>
      </w:r>
      <w:r w:rsidRPr="00E538A2">
        <w:rPr>
          <w:rFonts w:ascii="Verdana" w:hAnsi="Verdana"/>
        </w:rPr>
        <w:t xml:space="preserve"> norma de causación o devengo.</w:t>
      </w:r>
    </w:p>
    <w:p w14:paraId="24387FBF" w14:textId="77777777" w:rsidR="0041666E" w:rsidRDefault="0041666E" w:rsidP="00E538A2">
      <w:pPr>
        <w:pStyle w:val="Sinespaciado"/>
        <w:jc w:val="both"/>
        <w:rPr>
          <w:rFonts w:ascii="Verdana" w:hAnsi="Verdana"/>
        </w:rPr>
      </w:pPr>
    </w:p>
    <w:p w14:paraId="2E489F6E" w14:textId="01EB46AA" w:rsidR="006E4F35" w:rsidRPr="00E538A2" w:rsidRDefault="002D7BBB" w:rsidP="00E538A2">
      <w:pPr>
        <w:pStyle w:val="Sinespaciado"/>
        <w:jc w:val="both"/>
        <w:rPr>
          <w:rFonts w:ascii="Verdana" w:hAnsi="Verdana"/>
        </w:rPr>
      </w:pPr>
      <w:r w:rsidRPr="00E538A2">
        <w:rPr>
          <w:rFonts w:ascii="Verdana" w:hAnsi="Verdana"/>
        </w:rPr>
        <w:t>Es pertinente en re</w:t>
      </w:r>
      <w:r w:rsidR="0041666E">
        <w:rPr>
          <w:rFonts w:ascii="Verdana" w:hAnsi="Verdana"/>
        </w:rPr>
        <w:t>l</w:t>
      </w:r>
      <w:r w:rsidRPr="00E538A2">
        <w:rPr>
          <w:rFonts w:ascii="Verdana" w:hAnsi="Verdana"/>
        </w:rPr>
        <w:t xml:space="preserve">ación con </w:t>
      </w:r>
      <w:r w:rsidR="0041666E">
        <w:rPr>
          <w:rFonts w:ascii="Verdana" w:hAnsi="Verdana"/>
        </w:rPr>
        <w:t>l</w:t>
      </w:r>
      <w:r w:rsidRPr="00E538A2">
        <w:rPr>
          <w:rFonts w:ascii="Verdana" w:hAnsi="Verdana"/>
        </w:rPr>
        <w:t xml:space="preserve">as preguntas anteriores observar que </w:t>
      </w:r>
      <w:r w:rsidR="0041666E">
        <w:rPr>
          <w:rFonts w:ascii="Verdana" w:hAnsi="Verdana"/>
        </w:rPr>
        <w:t>l</w:t>
      </w:r>
      <w:r w:rsidRPr="00E538A2">
        <w:rPr>
          <w:rFonts w:ascii="Verdana" w:hAnsi="Verdana"/>
        </w:rPr>
        <w:t xml:space="preserve">a </w:t>
      </w:r>
      <w:r w:rsidRPr="00E538A2">
        <w:rPr>
          <w:rFonts w:ascii="Verdana" w:hAnsi="Verdana"/>
        </w:rPr>
        <w:t>NIFF 15 da c</w:t>
      </w:r>
      <w:r w:rsidR="0041666E">
        <w:rPr>
          <w:rFonts w:ascii="Verdana" w:hAnsi="Verdana"/>
        </w:rPr>
        <w:t>l</w:t>
      </w:r>
      <w:r w:rsidRPr="00E538A2">
        <w:rPr>
          <w:rFonts w:ascii="Verdana" w:hAnsi="Verdana"/>
        </w:rPr>
        <w:t>aridad ap</w:t>
      </w:r>
      <w:r w:rsidR="0041666E">
        <w:rPr>
          <w:rFonts w:ascii="Verdana" w:hAnsi="Verdana"/>
        </w:rPr>
        <w:t>l</w:t>
      </w:r>
      <w:r w:rsidRPr="00E538A2">
        <w:rPr>
          <w:rFonts w:ascii="Verdana" w:hAnsi="Verdana"/>
        </w:rPr>
        <w:t xml:space="preserve">icativa respecto de </w:t>
      </w:r>
      <w:r w:rsidR="0041666E">
        <w:rPr>
          <w:rFonts w:ascii="Verdana" w:hAnsi="Verdana"/>
        </w:rPr>
        <w:t>l</w:t>
      </w:r>
      <w:r w:rsidRPr="00E538A2">
        <w:rPr>
          <w:rFonts w:ascii="Verdana" w:hAnsi="Verdana"/>
        </w:rPr>
        <w:t>as principa</w:t>
      </w:r>
      <w:r w:rsidR="0041666E">
        <w:rPr>
          <w:rFonts w:ascii="Verdana" w:hAnsi="Verdana"/>
        </w:rPr>
        <w:t>l</w:t>
      </w:r>
      <w:r w:rsidRPr="00E538A2">
        <w:rPr>
          <w:rFonts w:ascii="Verdana" w:hAnsi="Verdana"/>
        </w:rPr>
        <w:t xml:space="preserve">es características para </w:t>
      </w:r>
      <w:r w:rsidR="0041666E">
        <w:rPr>
          <w:rFonts w:ascii="Verdana" w:hAnsi="Verdana"/>
        </w:rPr>
        <w:t>el</w:t>
      </w:r>
      <w:r w:rsidRPr="00E538A2">
        <w:rPr>
          <w:rFonts w:ascii="Verdana" w:hAnsi="Verdana"/>
        </w:rPr>
        <w:t xml:space="preserve"> reconocimiento de </w:t>
      </w:r>
      <w:r w:rsidR="0041666E">
        <w:rPr>
          <w:rFonts w:ascii="Verdana" w:hAnsi="Verdana"/>
        </w:rPr>
        <w:t>l</w:t>
      </w:r>
      <w:r w:rsidRPr="00E538A2">
        <w:rPr>
          <w:rFonts w:ascii="Verdana" w:hAnsi="Verdana"/>
        </w:rPr>
        <w:t xml:space="preserve">os ingresos “(...) de actividades ordinarias de forma que representen </w:t>
      </w:r>
      <w:r w:rsidR="0041666E">
        <w:rPr>
          <w:rFonts w:ascii="Verdana" w:hAnsi="Verdana"/>
        </w:rPr>
        <w:t>l</w:t>
      </w:r>
      <w:r w:rsidRPr="00E538A2">
        <w:rPr>
          <w:rFonts w:ascii="Verdana" w:hAnsi="Verdana"/>
        </w:rPr>
        <w:t xml:space="preserve">a transferencia de bienes o servicios comprometidos con </w:t>
      </w:r>
      <w:r w:rsidR="0041666E">
        <w:rPr>
          <w:rFonts w:ascii="Verdana" w:hAnsi="Verdana"/>
        </w:rPr>
        <w:t>lo</w:t>
      </w:r>
      <w:r w:rsidRPr="00E538A2">
        <w:rPr>
          <w:rFonts w:ascii="Verdana" w:hAnsi="Verdana"/>
        </w:rPr>
        <w:t>s c</w:t>
      </w:r>
      <w:r w:rsidR="0041666E">
        <w:rPr>
          <w:rFonts w:ascii="Verdana" w:hAnsi="Verdana"/>
        </w:rPr>
        <w:t>l</w:t>
      </w:r>
      <w:r w:rsidRPr="00E538A2">
        <w:rPr>
          <w:rFonts w:ascii="Verdana" w:hAnsi="Verdana"/>
        </w:rPr>
        <w:t>ientes a cambio de un</w:t>
      </w:r>
      <w:r w:rsidRPr="00E538A2">
        <w:rPr>
          <w:rFonts w:ascii="Verdana" w:hAnsi="Verdana"/>
        </w:rPr>
        <w:t xml:space="preserve"> importe que ref</w:t>
      </w:r>
      <w:r w:rsidR="0041666E">
        <w:rPr>
          <w:rFonts w:ascii="Verdana" w:hAnsi="Verdana"/>
        </w:rPr>
        <w:t>l</w:t>
      </w:r>
      <w:r w:rsidRPr="00E538A2">
        <w:rPr>
          <w:rFonts w:ascii="Verdana" w:hAnsi="Verdana"/>
        </w:rPr>
        <w:t xml:space="preserve">eje </w:t>
      </w:r>
      <w:r w:rsidR="0041666E">
        <w:rPr>
          <w:rFonts w:ascii="Verdana" w:hAnsi="Verdana"/>
        </w:rPr>
        <w:t>l</w:t>
      </w:r>
      <w:r w:rsidRPr="00E538A2">
        <w:rPr>
          <w:rFonts w:ascii="Verdana" w:hAnsi="Verdana"/>
        </w:rPr>
        <w:t xml:space="preserve">a contraprestación a </w:t>
      </w:r>
      <w:r w:rsidR="0041666E">
        <w:rPr>
          <w:rFonts w:ascii="Verdana" w:hAnsi="Verdana"/>
        </w:rPr>
        <w:t>la</w:t>
      </w:r>
      <w:r w:rsidRPr="00E538A2">
        <w:rPr>
          <w:rFonts w:ascii="Verdana" w:hAnsi="Verdana"/>
        </w:rPr>
        <w:t xml:space="preserve"> cua</w:t>
      </w:r>
      <w:r w:rsidR="0041666E">
        <w:rPr>
          <w:rFonts w:ascii="Verdana" w:hAnsi="Verdana"/>
        </w:rPr>
        <w:t>l l</w:t>
      </w:r>
      <w:r w:rsidRPr="00E538A2">
        <w:rPr>
          <w:rFonts w:ascii="Verdana" w:hAnsi="Verdana"/>
        </w:rPr>
        <w:t xml:space="preserve">a entidad espera tener derecho a cambio de dichos bienes o servicios (...)”, </w:t>
      </w:r>
      <w:r w:rsidR="0041666E">
        <w:rPr>
          <w:rFonts w:ascii="Verdana" w:hAnsi="Verdana"/>
        </w:rPr>
        <w:t>l</w:t>
      </w:r>
      <w:r w:rsidRPr="00E538A2">
        <w:rPr>
          <w:rFonts w:ascii="Verdana" w:hAnsi="Verdana"/>
        </w:rPr>
        <w:t xml:space="preserve">o cual complementa con el objetivo y reconocimiento de </w:t>
      </w:r>
      <w:r w:rsidR="0041666E">
        <w:rPr>
          <w:rFonts w:ascii="Verdana" w:hAnsi="Verdana"/>
        </w:rPr>
        <w:t>l</w:t>
      </w:r>
      <w:r w:rsidRPr="00E538A2">
        <w:rPr>
          <w:rFonts w:ascii="Verdana" w:hAnsi="Verdana"/>
        </w:rPr>
        <w:t>as mismas.</w:t>
      </w:r>
    </w:p>
    <w:p w14:paraId="0FD3AC71" w14:textId="77777777" w:rsidR="0041666E" w:rsidRDefault="0041666E" w:rsidP="00E538A2">
      <w:pPr>
        <w:pStyle w:val="Sinespaciado"/>
        <w:jc w:val="both"/>
        <w:rPr>
          <w:rStyle w:val="Cuerpodeltexto6TimesNewRoman9ptoSincursiva"/>
          <w:rFonts w:ascii="Verdana" w:eastAsia="Microsoft Sans Serif" w:hAnsi="Verdana"/>
          <w:i w:val="0"/>
          <w:iCs w:val="0"/>
          <w:sz w:val="24"/>
          <w:szCs w:val="24"/>
        </w:rPr>
      </w:pPr>
    </w:p>
    <w:p w14:paraId="3318FAD4" w14:textId="131CD982" w:rsidR="006E4F35" w:rsidRPr="0041666E" w:rsidRDefault="002D7BBB" w:rsidP="0041666E">
      <w:pPr>
        <w:pStyle w:val="Sinespaciado"/>
        <w:numPr>
          <w:ilvl w:val="0"/>
          <w:numId w:val="4"/>
        </w:numPr>
        <w:jc w:val="both"/>
        <w:rPr>
          <w:rFonts w:ascii="Verdana" w:hAnsi="Verdana"/>
          <w:b/>
          <w:bCs/>
          <w:i/>
          <w:iCs/>
          <w:sz w:val="22"/>
          <w:szCs w:val="22"/>
        </w:rPr>
      </w:pPr>
      <w:r w:rsidRPr="0041666E">
        <w:rPr>
          <w:rFonts w:ascii="Verdana" w:hAnsi="Verdana"/>
          <w:b/>
          <w:bCs/>
          <w:i/>
          <w:iCs/>
          <w:sz w:val="22"/>
          <w:szCs w:val="22"/>
        </w:rPr>
        <w:t xml:space="preserve">Un contador público tiene pendiente que </w:t>
      </w:r>
      <w:r w:rsidR="0041666E">
        <w:rPr>
          <w:rFonts w:ascii="Verdana" w:hAnsi="Verdana"/>
          <w:b/>
          <w:bCs/>
          <w:i/>
          <w:iCs/>
          <w:sz w:val="22"/>
          <w:szCs w:val="22"/>
        </w:rPr>
        <w:t>le</w:t>
      </w:r>
      <w:r w:rsidRPr="0041666E">
        <w:rPr>
          <w:rFonts w:ascii="Verdana" w:hAnsi="Verdana"/>
          <w:b/>
          <w:bCs/>
          <w:i/>
          <w:iCs/>
          <w:sz w:val="22"/>
          <w:szCs w:val="22"/>
        </w:rPr>
        <w:t xml:space="preserve"> cancelen honorarios por ejercer su profesión en una sociedad. A diciembre de 2021 </w:t>
      </w:r>
      <w:r w:rsidR="0041666E">
        <w:rPr>
          <w:rFonts w:ascii="Verdana" w:hAnsi="Verdana"/>
          <w:b/>
          <w:bCs/>
          <w:i/>
          <w:iCs/>
          <w:sz w:val="22"/>
          <w:szCs w:val="22"/>
        </w:rPr>
        <w:t>l</w:t>
      </w:r>
      <w:r w:rsidRPr="0041666E">
        <w:rPr>
          <w:rFonts w:ascii="Verdana" w:hAnsi="Verdana"/>
          <w:b/>
          <w:bCs/>
          <w:i/>
          <w:iCs/>
          <w:sz w:val="22"/>
          <w:szCs w:val="22"/>
        </w:rPr>
        <w:t xml:space="preserve">a deuda asciende a $80.000.000. En </w:t>
      </w:r>
      <w:r w:rsidR="0041666E">
        <w:rPr>
          <w:rFonts w:ascii="Verdana" w:hAnsi="Verdana"/>
          <w:b/>
          <w:bCs/>
          <w:i/>
          <w:iCs/>
          <w:sz w:val="22"/>
          <w:szCs w:val="22"/>
        </w:rPr>
        <w:t>el</w:t>
      </w:r>
      <w:r w:rsidRPr="0041666E">
        <w:rPr>
          <w:rFonts w:ascii="Verdana" w:hAnsi="Verdana"/>
          <w:b/>
          <w:bCs/>
          <w:i/>
          <w:iCs/>
          <w:sz w:val="22"/>
          <w:szCs w:val="22"/>
        </w:rPr>
        <w:t xml:space="preserve"> año 2022 </w:t>
      </w:r>
      <w:r w:rsidR="0041666E">
        <w:rPr>
          <w:rFonts w:ascii="Verdana" w:hAnsi="Verdana"/>
          <w:b/>
          <w:bCs/>
          <w:i/>
          <w:iCs/>
          <w:sz w:val="22"/>
          <w:szCs w:val="22"/>
        </w:rPr>
        <w:t>el</w:t>
      </w:r>
      <w:r w:rsidRPr="0041666E">
        <w:rPr>
          <w:rFonts w:ascii="Verdana" w:hAnsi="Verdana"/>
          <w:b/>
          <w:bCs/>
          <w:i/>
          <w:iCs/>
          <w:sz w:val="22"/>
          <w:szCs w:val="22"/>
        </w:rPr>
        <w:t xml:space="preserve"> contador fallece. ¿La suma de $80.000.000 puede considerarse como una cuenta por cobrar en </w:t>
      </w:r>
      <w:r w:rsidR="0041666E">
        <w:rPr>
          <w:rFonts w:ascii="Verdana" w:hAnsi="Verdana"/>
          <w:b/>
          <w:bCs/>
          <w:i/>
          <w:iCs/>
          <w:sz w:val="22"/>
          <w:szCs w:val="22"/>
        </w:rPr>
        <w:t>el</w:t>
      </w:r>
      <w:r w:rsidRPr="0041666E">
        <w:rPr>
          <w:rFonts w:ascii="Verdana" w:hAnsi="Verdana"/>
          <w:b/>
          <w:bCs/>
          <w:i/>
          <w:iCs/>
          <w:sz w:val="22"/>
          <w:szCs w:val="22"/>
        </w:rPr>
        <w:t xml:space="preserve"> año 2021? o en su defecto, ¿</w:t>
      </w:r>
      <w:r w:rsidRPr="0041666E">
        <w:rPr>
          <w:rFonts w:ascii="Verdana" w:hAnsi="Verdana"/>
          <w:b/>
          <w:bCs/>
          <w:i/>
          <w:iCs/>
          <w:sz w:val="22"/>
          <w:szCs w:val="22"/>
        </w:rPr>
        <w:t xml:space="preserve">puede constituirse como una cuenta por cobrar en </w:t>
      </w:r>
      <w:r w:rsidR="0041666E">
        <w:rPr>
          <w:rFonts w:ascii="Verdana" w:hAnsi="Verdana"/>
          <w:b/>
          <w:bCs/>
          <w:i/>
          <w:iCs/>
          <w:sz w:val="22"/>
          <w:szCs w:val="22"/>
        </w:rPr>
        <w:t>el</w:t>
      </w:r>
      <w:r w:rsidRPr="0041666E">
        <w:rPr>
          <w:rFonts w:ascii="Verdana" w:hAnsi="Verdana"/>
          <w:b/>
          <w:bCs/>
          <w:i/>
          <w:iCs/>
          <w:sz w:val="22"/>
          <w:szCs w:val="22"/>
        </w:rPr>
        <w:t xml:space="preserve"> inventario de bienes sucesora</w:t>
      </w:r>
      <w:r w:rsidR="0041666E">
        <w:rPr>
          <w:rFonts w:ascii="Verdana" w:hAnsi="Verdana"/>
          <w:b/>
          <w:bCs/>
          <w:i/>
          <w:iCs/>
          <w:sz w:val="22"/>
          <w:szCs w:val="22"/>
        </w:rPr>
        <w:t>l</w:t>
      </w:r>
      <w:r w:rsidRPr="0041666E">
        <w:rPr>
          <w:rFonts w:ascii="Verdana" w:hAnsi="Verdana"/>
          <w:b/>
          <w:bCs/>
          <w:i/>
          <w:iCs/>
          <w:sz w:val="22"/>
          <w:szCs w:val="22"/>
        </w:rPr>
        <w:t xml:space="preserve">es?, ¿en qué momento se reconoce </w:t>
      </w:r>
      <w:r w:rsidR="0041666E">
        <w:rPr>
          <w:rFonts w:ascii="Verdana" w:hAnsi="Verdana"/>
          <w:b/>
          <w:bCs/>
          <w:i/>
          <w:iCs/>
          <w:sz w:val="22"/>
          <w:szCs w:val="22"/>
        </w:rPr>
        <w:t>el</w:t>
      </w:r>
      <w:r w:rsidRPr="0041666E">
        <w:rPr>
          <w:rFonts w:ascii="Verdana" w:hAnsi="Verdana"/>
          <w:b/>
          <w:bCs/>
          <w:i/>
          <w:iCs/>
          <w:sz w:val="22"/>
          <w:szCs w:val="22"/>
        </w:rPr>
        <w:t xml:space="preserve"> ingreso de </w:t>
      </w:r>
      <w:r w:rsidR="0041666E">
        <w:rPr>
          <w:rFonts w:ascii="Verdana" w:hAnsi="Verdana"/>
          <w:b/>
          <w:bCs/>
          <w:i/>
          <w:iCs/>
          <w:sz w:val="22"/>
          <w:szCs w:val="22"/>
        </w:rPr>
        <w:t>la</w:t>
      </w:r>
      <w:r w:rsidRPr="0041666E">
        <w:rPr>
          <w:rFonts w:ascii="Verdana" w:hAnsi="Verdana"/>
          <w:b/>
          <w:bCs/>
          <w:i/>
          <w:iCs/>
          <w:sz w:val="22"/>
          <w:szCs w:val="22"/>
        </w:rPr>
        <w:t xml:space="preserve"> suma de $80.000.000, en </w:t>
      </w:r>
      <w:r w:rsidR="0041666E">
        <w:rPr>
          <w:rFonts w:ascii="Verdana" w:hAnsi="Verdana"/>
          <w:b/>
          <w:bCs/>
          <w:i/>
          <w:iCs/>
          <w:sz w:val="22"/>
          <w:szCs w:val="22"/>
        </w:rPr>
        <w:t>el</w:t>
      </w:r>
      <w:r w:rsidRPr="0041666E">
        <w:rPr>
          <w:rFonts w:ascii="Verdana" w:hAnsi="Verdana"/>
          <w:b/>
          <w:bCs/>
          <w:i/>
          <w:iCs/>
          <w:sz w:val="22"/>
          <w:szCs w:val="22"/>
        </w:rPr>
        <w:t xml:space="preserve"> año 2021 o 2022?</w:t>
      </w:r>
    </w:p>
    <w:p w14:paraId="74B83D55" w14:textId="77777777" w:rsidR="0041666E" w:rsidRDefault="0041666E" w:rsidP="00E538A2">
      <w:pPr>
        <w:pStyle w:val="Sinespaciado"/>
        <w:jc w:val="both"/>
        <w:rPr>
          <w:rFonts w:ascii="Verdana" w:hAnsi="Verdana"/>
        </w:rPr>
      </w:pPr>
    </w:p>
    <w:p w14:paraId="605B75E0" w14:textId="262A738D" w:rsidR="006E4F35" w:rsidRPr="00E538A2" w:rsidRDefault="002D7BBB" w:rsidP="00E538A2">
      <w:pPr>
        <w:pStyle w:val="Sinespaciado"/>
        <w:jc w:val="both"/>
        <w:rPr>
          <w:rFonts w:ascii="Verdana" w:hAnsi="Verdana"/>
        </w:rPr>
      </w:pPr>
      <w:r w:rsidRPr="00E538A2">
        <w:rPr>
          <w:rFonts w:ascii="Verdana" w:hAnsi="Verdana"/>
        </w:rPr>
        <w:t xml:space="preserve">Dado que </w:t>
      </w:r>
      <w:r w:rsidR="0041666E">
        <w:rPr>
          <w:rFonts w:ascii="Verdana" w:hAnsi="Verdana"/>
        </w:rPr>
        <w:t>la</w:t>
      </w:r>
      <w:r w:rsidRPr="00E538A2">
        <w:rPr>
          <w:rFonts w:ascii="Verdana" w:hAnsi="Verdana"/>
        </w:rPr>
        <w:t xml:space="preserve"> pregunta hace referencia a bienes sucesora</w:t>
      </w:r>
      <w:r w:rsidR="0041666E">
        <w:rPr>
          <w:rFonts w:ascii="Verdana" w:hAnsi="Verdana"/>
        </w:rPr>
        <w:t>l</w:t>
      </w:r>
      <w:r w:rsidRPr="00E538A2">
        <w:rPr>
          <w:rFonts w:ascii="Verdana" w:hAnsi="Verdana"/>
        </w:rPr>
        <w:t>es, deberá darse ap</w:t>
      </w:r>
      <w:r w:rsidR="0041666E">
        <w:rPr>
          <w:rFonts w:ascii="Verdana" w:hAnsi="Verdana"/>
        </w:rPr>
        <w:t>l</w:t>
      </w:r>
      <w:r w:rsidRPr="00E538A2">
        <w:rPr>
          <w:rFonts w:ascii="Verdana" w:hAnsi="Verdana"/>
        </w:rPr>
        <w:t>icac</w:t>
      </w:r>
      <w:r w:rsidRPr="00E538A2">
        <w:rPr>
          <w:rFonts w:ascii="Verdana" w:hAnsi="Verdana"/>
        </w:rPr>
        <w:t xml:space="preserve">ión a </w:t>
      </w:r>
      <w:r w:rsidR="0041666E">
        <w:rPr>
          <w:rFonts w:ascii="Verdana" w:hAnsi="Verdana"/>
        </w:rPr>
        <w:t>lo</w:t>
      </w:r>
      <w:r w:rsidRPr="00E538A2">
        <w:rPr>
          <w:rFonts w:ascii="Verdana" w:hAnsi="Verdana"/>
        </w:rPr>
        <w:t xml:space="preserve"> estab</w:t>
      </w:r>
      <w:r w:rsidR="0041666E">
        <w:rPr>
          <w:rFonts w:ascii="Verdana" w:hAnsi="Verdana"/>
        </w:rPr>
        <w:t>l</w:t>
      </w:r>
      <w:r w:rsidRPr="00E538A2">
        <w:rPr>
          <w:rFonts w:ascii="Verdana" w:hAnsi="Verdana"/>
        </w:rPr>
        <w:t xml:space="preserve">ecido por </w:t>
      </w:r>
      <w:r w:rsidR="0041666E">
        <w:rPr>
          <w:rFonts w:ascii="Verdana" w:hAnsi="Verdana"/>
        </w:rPr>
        <w:t>el</w:t>
      </w:r>
      <w:r w:rsidRPr="00E538A2">
        <w:rPr>
          <w:rFonts w:ascii="Verdana" w:hAnsi="Verdana"/>
        </w:rPr>
        <w:t xml:space="preserve"> Código Civi</w:t>
      </w:r>
      <w:r w:rsidR="0041666E">
        <w:rPr>
          <w:rFonts w:ascii="Verdana" w:hAnsi="Verdana"/>
        </w:rPr>
        <w:t>l</w:t>
      </w:r>
      <w:r w:rsidRPr="00E538A2">
        <w:rPr>
          <w:rFonts w:ascii="Verdana" w:hAnsi="Verdana"/>
        </w:rPr>
        <w:t xml:space="preserve"> y </w:t>
      </w:r>
      <w:r w:rsidR="0041666E">
        <w:rPr>
          <w:rFonts w:ascii="Verdana" w:hAnsi="Verdana"/>
        </w:rPr>
        <w:t>el</w:t>
      </w:r>
      <w:r w:rsidRPr="00E538A2">
        <w:rPr>
          <w:rFonts w:ascii="Verdana" w:hAnsi="Verdana"/>
        </w:rPr>
        <w:t xml:space="preserve"> Código Genera</w:t>
      </w:r>
      <w:r w:rsidR="0041666E">
        <w:rPr>
          <w:rFonts w:ascii="Verdana" w:hAnsi="Verdana"/>
        </w:rPr>
        <w:t>l</w:t>
      </w:r>
      <w:r w:rsidRPr="00E538A2">
        <w:rPr>
          <w:rFonts w:ascii="Verdana" w:hAnsi="Verdana"/>
        </w:rPr>
        <w:t xml:space="preserve"> de</w:t>
      </w:r>
      <w:r w:rsidR="0041666E">
        <w:rPr>
          <w:rFonts w:ascii="Verdana" w:hAnsi="Verdana"/>
        </w:rPr>
        <w:t>l</w:t>
      </w:r>
      <w:r w:rsidRPr="00E538A2">
        <w:rPr>
          <w:rFonts w:ascii="Verdana" w:hAnsi="Verdana"/>
        </w:rPr>
        <w:t xml:space="preserve"> Proceso, no siendo de</w:t>
      </w:r>
      <w:r w:rsidR="0041666E">
        <w:rPr>
          <w:rFonts w:ascii="Verdana" w:hAnsi="Verdana"/>
        </w:rPr>
        <w:t>l</w:t>
      </w:r>
      <w:r w:rsidRPr="00E538A2">
        <w:rPr>
          <w:rFonts w:ascii="Verdana" w:hAnsi="Verdana"/>
        </w:rPr>
        <w:t xml:space="preserve"> resorte de este Organismo </w:t>
      </w:r>
      <w:r w:rsidR="0041666E">
        <w:rPr>
          <w:rFonts w:ascii="Verdana" w:hAnsi="Verdana"/>
        </w:rPr>
        <w:t>lo</w:t>
      </w:r>
      <w:r w:rsidRPr="00E538A2">
        <w:rPr>
          <w:rFonts w:ascii="Verdana" w:hAnsi="Verdana"/>
        </w:rPr>
        <w:t xml:space="preserve"> preguntado por </w:t>
      </w:r>
      <w:r w:rsidR="0041666E">
        <w:rPr>
          <w:rFonts w:ascii="Verdana" w:hAnsi="Verdana"/>
        </w:rPr>
        <w:t>el</w:t>
      </w:r>
      <w:r w:rsidRPr="00E538A2">
        <w:rPr>
          <w:rFonts w:ascii="Verdana" w:hAnsi="Verdana"/>
        </w:rPr>
        <w:t xml:space="preserve"> consu</w:t>
      </w:r>
      <w:r w:rsidR="0041666E">
        <w:rPr>
          <w:rFonts w:ascii="Verdana" w:hAnsi="Verdana"/>
        </w:rPr>
        <w:t>l</w:t>
      </w:r>
      <w:r w:rsidRPr="00E538A2">
        <w:rPr>
          <w:rFonts w:ascii="Verdana" w:hAnsi="Verdana"/>
        </w:rPr>
        <w:t>tante.</w:t>
      </w:r>
    </w:p>
    <w:p w14:paraId="75A2E2C1" w14:textId="77777777" w:rsidR="0041666E" w:rsidRDefault="0041666E" w:rsidP="00E538A2">
      <w:pPr>
        <w:pStyle w:val="Sinespaciado"/>
        <w:jc w:val="both"/>
        <w:rPr>
          <w:rFonts w:ascii="Verdana" w:hAnsi="Verdana"/>
        </w:rPr>
      </w:pPr>
    </w:p>
    <w:p w14:paraId="2FC5EA91" w14:textId="6CF475D7" w:rsidR="006E4F35" w:rsidRPr="00E538A2" w:rsidRDefault="002D7BBB" w:rsidP="00E538A2">
      <w:pPr>
        <w:pStyle w:val="Sinespaciado"/>
        <w:jc w:val="both"/>
        <w:rPr>
          <w:rFonts w:ascii="Verdana" w:hAnsi="Verdana"/>
        </w:rPr>
      </w:pPr>
      <w:r w:rsidRPr="00E538A2">
        <w:rPr>
          <w:rFonts w:ascii="Verdana" w:hAnsi="Verdana"/>
        </w:rPr>
        <w:t xml:space="preserve">En </w:t>
      </w:r>
      <w:r w:rsidR="0041666E">
        <w:rPr>
          <w:rFonts w:ascii="Verdana" w:hAnsi="Verdana"/>
        </w:rPr>
        <w:t>l</w:t>
      </w:r>
      <w:r w:rsidRPr="00E538A2">
        <w:rPr>
          <w:rFonts w:ascii="Verdana" w:hAnsi="Verdana"/>
        </w:rPr>
        <w:t>os términos anteriores se absue</w:t>
      </w:r>
      <w:r w:rsidR="0041666E">
        <w:rPr>
          <w:rFonts w:ascii="Verdana" w:hAnsi="Verdana"/>
        </w:rPr>
        <w:t>l</w:t>
      </w:r>
      <w:r w:rsidRPr="00E538A2">
        <w:rPr>
          <w:rFonts w:ascii="Verdana" w:hAnsi="Verdana"/>
        </w:rPr>
        <w:t xml:space="preserve">ve </w:t>
      </w:r>
      <w:r w:rsidR="0041666E">
        <w:rPr>
          <w:rFonts w:ascii="Verdana" w:hAnsi="Verdana"/>
        </w:rPr>
        <w:t>la</w:t>
      </w:r>
      <w:r w:rsidRPr="00E538A2">
        <w:rPr>
          <w:rFonts w:ascii="Verdana" w:hAnsi="Verdana"/>
        </w:rPr>
        <w:t xml:space="preserve"> consu</w:t>
      </w:r>
      <w:r w:rsidR="0041666E">
        <w:rPr>
          <w:rFonts w:ascii="Verdana" w:hAnsi="Verdana"/>
        </w:rPr>
        <w:t>l</w:t>
      </w:r>
      <w:r w:rsidRPr="00E538A2">
        <w:rPr>
          <w:rFonts w:ascii="Verdana" w:hAnsi="Verdana"/>
        </w:rPr>
        <w:t>ta, indicando que, para hacer</w:t>
      </w:r>
      <w:r w:rsidR="0041666E">
        <w:rPr>
          <w:rFonts w:ascii="Verdana" w:hAnsi="Verdana"/>
        </w:rPr>
        <w:t>l</w:t>
      </w:r>
      <w:r w:rsidRPr="00E538A2">
        <w:rPr>
          <w:rFonts w:ascii="Verdana" w:hAnsi="Verdana"/>
        </w:rPr>
        <w:t xml:space="preserve">o, este organismo se ciñó a </w:t>
      </w:r>
      <w:r w:rsidR="0041666E">
        <w:rPr>
          <w:rFonts w:ascii="Verdana" w:hAnsi="Verdana"/>
        </w:rPr>
        <w:t>la</w:t>
      </w:r>
      <w:r w:rsidRPr="00E538A2">
        <w:rPr>
          <w:rFonts w:ascii="Verdana" w:hAnsi="Verdana"/>
        </w:rPr>
        <w:t xml:space="preserve"> información presentada por </w:t>
      </w:r>
      <w:r w:rsidR="0041666E">
        <w:rPr>
          <w:rFonts w:ascii="Verdana" w:hAnsi="Verdana"/>
        </w:rPr>
        <w:t>el</w:t>
      </w:r>
      <w:r w:rsidRPr="00E538A2">
        <w:rPr>
          <w:rFonts w:ascii="Verdana" w:hAnsi="Verdana"/>
        </w:rPr>
        <w:t xml:space="preserve"> consu</w:t>
      </w:r>
      <w:r w:rsidR="0041666E">
        <w:rPr>
          <w:rFonts w:ascii="Verdana" w:hAnsi="Verdana"/>
        </w:rPr>
        <w:t>l</w:t>
      </w:r>
      <w:r w:rsidRPr="00E538A2">
        <w:rPr>
          <w:rFonts w:ascii="Verdana" w:hAnsi="Verdana"/>
        </w:rPr>
        <w:t xml:space="preserve">tante y </w:t>
      </w:r>
      <w:r w:rsidR="0041666E">
        <w:rPr>
          <w:rFonts w:ascii="Verdana" w:hAnsi="Verdana"/>
        </w:rPr>
        <w:t>lo</w:t>
      </w:r>
      <w:r w:rsidRPr="00E538A2">
        <w:rPr>
          <w:rFonts w:ascii="Verdana" w:hAnsi="Verdana"/>
        </w:rPr>
        <w:t xml:space="preserve">s efectos de este concepto son </w:t>
      </w:r>
      <w:r w:rsidR="0041666E">
        <w:rPr>
          <w:rFonts w:ascii="Verdana" w:hAnsi="Verdana"/>
        </w:rPr>
        <w:t>l</w:t>
      </w:r>
      <w:r w:rsidRPr="00E538A2">
        <w:rPr>
          <w:rFonts w:ascii="Verdana" w:hAnsi="Verdana"/>
        </w:rPr>
        <w:t xml:space="preserve">os previstos por </w:t>
      </w:r>
      <w:r w:rsidR="0041666E">
        <w:rPr>
          <w:rFonts w:ascii="Verdana" w:hAnsi="Verdana"/>
        </w:rPr>
        <w:t>el</w:t>
      </w:r>
      <w:r w:rsidRPr="00E538A2">
        <w:rPr>
          <w:rFonts w:ascii="Verdana" w:hAnsi="Verdana"/>
        </w:rPr>
        <w:t xml:space="preserve"> artícu</w:t>
      </w:r>
      <w:r w:rsidR="0041666E">
        <w:rPr>
          <w:rFonts w:ascii="Verdana" w:hAnsi="Verdana"/>
        </w:rPr>
        <w:t>l</w:t>
      </w:r>
      <w:r w:rsidRPr="00E538A2">
        <w:rPr>
          <w:rFonts w:ascii="Verdana" w:hAnsi="Verdana"/>
        </w:rPr>
        <w:t xml:space="preserve">o 28 de </w:t>
      </w:r>
      <w:r w:rsidR="0041666E">
        <w:rPr>
          <w:rFonts w:ascii="Verdana" w:hAnsi="Verdana"/>
        </w:rPr>
        <w:t>la</w:t>
      </w:r>
      <w:r w:rsidRPr="00E538A2">
        <w:rPr>
          <w:rFonts w:ascii="Verdana" w:hAnsi="Verdana"/>
        </w:rPr>
        <w:t xml:space="preserve"> Ley 1437 de 2011, modificado por </w:t>
      </w:r>
      <w:r w:rsidR="0041666E">
        <w:rPr>
          <w:rFonts w:ascii="Verdana" w:hAnsi="Verdana"/>
        </w:rPr>
        <w:t>el</w:t>
      </w:r>
      <w:r w:rsidRPr="00E538A2">
        <w:rPr>
          <w:rFonts w:ascii="Verdana" w:hAnsi="Verdana"/>
        </w:rPr>
        <w:t xml:space="preserve"> artícu</w:t>
      </w:r>
      <w:r w:rsidR="0041666E">
        <w:rPr>
          <w:rFonts w:ascii="Verdana" w:hAnsi="Verdana"/>
        </w:rPr>
        <w:t>l</w:t>
      </w:r>
      <w:r w:rsidRPr="00E538A2">
        <w:rPr>
          <w:rFonts w:ascii="Verdana" w:hAnsi="Verdana"/>
        </w:rPr>
        <w:t xml:space="preserve">o 1 de </w:t>
      </w:r>
      <w:r w:rsidR="0041666E">
        <w:rPr>
          <w:rFonts w:ascii="Verdana" w:hAnsi="Verdana"/>
        </w:rPr>
        <w:t>la</w:t>
      </w:r>
      <w:r w:rsidRPr="00E538A2">
        <w:rPr>
          <w:rFonts w:ascii="Verdana" w:hAnsi="Verdana"/>
        </w:rPr>
        <w:t xml:space="preserve"> Ley 1755 de 2015.</w:t>
      </w:r>
    </w:p>
    <w:p w14:paraId="7F77DC47" w14:textId="77777777" w:rsidR="0041666E" w:rsidRDefault="0041666E" w:rsidP="00E538A2">
      <w:pPr>
        <w:pStyle w:val="Sinespaciado"/>
        <w:jc w:val="both"/>
        <w:rPr>
          <w:rStyle w:val="Ttulo121"/>
          <w:rFonts w:ascii="Verdana" w:hAnsi="Verdana"/>
          <w:sz w:val="24"/>
          <w:szCs w:val="24"/>
        </w:rPr>
      </w:pPr>
      <w:bookmarkStart w:id="5" w:name="bookmark4"/>
    </w:p>
    <w:p w14:paraId="56C48E7F" w14:textId="764ECA98" w:rsidR="006E4F35" w:rsidRPr="0041666E" w:rsidRDefault="002D7BBB" w:rsidP="00E538A2">
      <w:pPr>
        <w:pStyle w:val="Sinespaciado"/>
        <w:jc w:val="both"/>
        <w:rPr>
          <w:rFonts w:ascii="Verdana" w:hAnsi="Verdana"/>
          <w:b/>
          <w:bCs/>
        </w:rPr>
      </w:pPr>
      <w:r w:rsidRPr="0041666E">
        <w:rPr>
          <w:rStyle w:val="Ttulo121"/>
          <w:rFonts w:ascii="Verdana" w:hAnsi="Verdana"/>
          <w:b w:val="0"/>
          <w:bCs w:val="0"/>
          <w:sz w:val="24"/>
          <w:szCs w:val="24"/>
        </w:rPr>
        <w:t>Cordialmente</w:t>
      </w:r>
      <w:bookmarkEnd w:id="5"/>
      <w:r w:rsidR="0041666E" w:rsidRPr="0041666E">
        <w:rPr>
          <w:rStyle w:val="Ttulo121"/>
          <w:rFonts w:ascii="Verdana" w:hAnsi="Verdana"/>
          <w:b w:val="0"/>
          <w:bCs w:val="0"/>
          <w:sz w:val="24"/>
          <w:szCs w:val="24"/>
        </w:rPr>
        <w:t>,</w:t>
      </w:r>
    </w:p>
    <w:p w14:paraId="098A3FB5" w14:textId="77777777" w:rsidR="0041666E" w:rsidRDefault="0041666E" w:rsidP="00E538A2">
      <w:pPr>
        <w:pStyle w:val="Sinespaciado"/>
        <w:jc w:val="both"/>
        <w:rPr>
          <w:rStyle w:val="Cuerpodeltexto111"/>
          <w:rFonts w:ascii="Verdana" w:hAnsi="Verdana"/>
          <w:sz w:val="24"/>
          <w:szCs w:val="24"/>
        </w:rPr>
      </w:pPr>
    </w:p>
    <w:p w14:paraId="72ED7015" w14:textId="77777777" w:rsidR="0041666E" w:rsidRDefault="0041666E" w:rsidP="00E538A2">
      <w:pPr>
        <w:pStyle w:val="Sinespaciado"/>
        <w:jc w:val="both"/>
        <w:rPr>
          <w:rStyle w:val="Cuerpodeltexto111"/>
          <w:rFonts w:ascii="Verdana" w:hAnsi="Verdana"/>
          <w:sz w:val="24"/>
          <w:szCs w:val="24"/>
        </w:rPr>
      </w:pPr>
    </w:p>
    <w:p w14:paraId="4D9B8576" w14:textId="17BAC392" w:rsidR="006E4F35" w:rsidRPr="0041666E" w:rsidRDefault="002D7BBB" w:rsidP="00E538A2">
      <w:pPr>
        <w:pStyle w:val="Sinespaciado"/>
        <w:jc w:val="both"/>
        <w:rPr>
          <w:rFonts w:ascii="Verdana" w:hAnsi="Verdana"/>
          <w:b/>
          <w:bCs/>
        </w:rPr>
      </w:pPr>
      <w:r w:rsidRPr="0041666E">
        <w:rPr>
          <w:rStyle w:val="Cuerpodeltexto111"/>
          <w:rFonts w:ascii="Verdana" w:hAnsi="Verdana"/>
          <w:b/>
          <w:bCs/>
          <w:sz w:val="24"/>
          <w:szCs w:val="24"/>
        </w:rPr>
        <w:t>JESUS MARÍA PEÑA BERMUDEZ</w:t>
      </w:r>
    </w:p>
    <w:p w14:paraId="625BEC36" w14:textId="77777777" w:rsidR="006E4F35" w:rsidRPr="0041666E" w:rsidRDefault="002D7BBB" w:rsidP="00E538A2">
      <w:pPr>
        <w:pStyle w:val="Sinespaciado"/>
        <w:jc w:val="both"/>
        <w:rPr>
          <w:rFonts w:ascii="Verdana" w:hAnsi="Verdana"/>
          <w:b/>
          <w:bCs/>
        </w:rPr>
      </w:pPr>
      <w:bookmarkStart w:id="6" w:name="bookmark5"/>
      <w:r w:rsidRPr="0041666E">
        <w:rPr>
          <w:rStyle w:val="Ttulo121"/>
          <w:rFonts w:ascii="Verdana" w:hAnsi="Verdana"/>
          <w:b w:val="0"/>
          <w:bCs w:val="0"/>
          <w:sz w:val="24"/>
          <w:szCs w:val="24"/>
        </w:rPr>
        <w:t xml:space="preserve">Consejero </w:t>
      </w:r>
      <w:r w:rsidRPr="0041666E">
        <w:rPr>
          <w:rStyle w:val="Ttulo122"/>
          <w:rFonts w:ascii="Verdana" w:hAnsi="Verdana"/>
          <w:b w:val="0"/>
          <w:bCs w:val="0"/>
          <w:sz w:val="24"/>
          <w:szCs w:val="24"/>
        </w:rPr>
        <w:t xml:space="preserve">- </w:t>
      </w:r>
      <w:r w:rsidRPr="0041666E">
        <w:rPr>
          <w:rStyle w:val="Ttulo121"/>
          <w:rFonts w:ascii="Verdana" w:hAnsi="Verdana"/>
          <w:b w:val="0"/>
          <w:bCs w:val="0"/>
          <w:sz w:val="24"/>
          <w:szCs w:val="24"/>
        </w:rPr>
        <w:t>CTCP</w:t>
      </w:r>
      <w:bookmarkEnd w:id="6"/>
    </w:p>
    <w:sectPr w:rsidR="006E4F35" w:rsidRPr="0041666E" w:rsidSect="00E538A2">
      <w:pgSz w:w="12240" w:h="15840" w:code="1"/>
      <w:pgMar w:top="1701" w:right="1985" w:bottom="1701" w:left="1985"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0999" w14:textId="77777777" w:rsidR="002D7BBB" w:rsidRDefault="002D7BBB">
      <w:r>
        <w:separator/>
      </w:r>
    </w:p>
  </w:endnote>
  <w:endnote w:type="continuationSeparator" w:id="0">
    <w:p w14:paraId="519A1DDF" w14:textId="77777777" w:rsidR="002D7BBB" w:rsidRDefault="002D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683F" w14:textId="77777777" w:rsidR="002D7BBB" w:rsidRDefault="002D7BBB">
      <w:r>
        <w:separator/>
      </w:r>
    </w:p>
  </w:footnote>
  <w:footnote w:type="continuationSeparator" w:id="0">
    <w:p w14:paraId="5C9BCF6A" w14:textId="77777777" w:rsidR="002D7BBB" w:rsidRDefault="002D7BBB">
      <w:r>
        <w:continuationSeparator/>
      </w:r>
    </w:p>
  </w:footnote>
  <w:footnote w:id="1">
    <w:p w14:paraId="4B3FAF7B" w14:textId="77777777" w:rsidR="006E4F35" w:rsidRPr="0041666E" w:rsidRDefault="002D7BBB" w:rsidP="0041666E">
      <w:pPr>
        <w:pStyle w:val="Sinespaciado"/>
        <w:jc w:val="both"/>
        <w:rPr>
          <w:rFonts w:ascii="Verdana" w:hAnsi="Verdana"/>
          <w:sz w:val="16"/>
          <w:szCs w:val="16"/>
        </w:rPr>
      </w:pPr>
      <w:r w:rsidRPr="0041666E">
        <w:rPr>
          <w:rFonts w:ascii="Verdana" w:hAnsi="Verdana"/>
          <w:sz w:val="16"/>
          <w:szCs w:val="16"/>
          <w:vertAlign w:val="superscript"/>
        </w:rPr>
        <w:footnoteRef/>
      </w:r>
      <w:r w:rsidRPr="0041666E">
        <w:rPr>
          <w:rFonts w:ascii="Verdana" w:hAnsi="Verdana"/>
          <w:sz w:val="16"/>
          <w:szCs w:val="16"/>
        </w:rPr>
        <w:t xml:space="preserve"> Establecimientos bancarios, corporaciones financieras, compañías de financiamiento, cooperativas financieras, organismos cooperativos de grado superior, aseguradoras, sociedades de capitalización, comisionistas de bolsa, administradoras de fondos de pensi</w:t>
      </w:r>
      <w:r w:rsidRPr="0041666E">
        <w:rPr>
          <w:rFonts w:ascii="Verdana" w:hAnsi="Verdana"/>
          <w:sz w:val="16"/>
          <w:szCs w:val="16"/>
        </w:rPr>
        <w:t>ones y cesantías privadas, sociedades fiduciarias, bolsas de valores, bolsas de bienes y productos agropecuarios, titularizadoras, cámaras de compensación de bolsas de bienes, y productos agropecuarios, sociedades administradoras de depósitos centralizados</w:t>
      </w:r>
      <w:r w:rsidRPr="0041666E">
        <w:rPr>
          <w:rFonts w:ascii="Verdana" w:hAnsi="Verdana"/>
          <w:sz w:val="16"/>
          <w:szCs w:val="16"/>
        </w:rPr>
        <w:t xml:space="preserve"> de valores, cámaras de riesgo central de contraparte, sociedades administradoras de inversión, sociedades de intermediación cambiaría y servicios financieros especiales, fondos de pensiones voluntarios y obligatorios, fondos de cesantías, fondos de invers</w:t>
      </w:r>
      <w:r w:rsidRPr="0041666E">
        <w:rPr>
          <w:rFonts w:ascii="Verdana" w:hAnsi="Verdana"/>
          <w:sz w:val="16"/>
          <w:szCs w:val="16"/>
        </w:rPr>
        <w:t>ión colectiva y las universalidades (parágrafo 1° del artículo 1.1.1.1 del Decreto 2420 de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2D7"/>
    <w:multiLevelType w:val="multilevel"/>
    <w:tmpl w:val="1FE4DE5A"/>
    <w:lvl w:ilvl="0">
      <w:start w:val="1"/>
      <w:numFmt w:val="decimal"/>
      <w:lvlText w:val="%1."/>
      <w:lvlJc w:val="left"/>
      <w:rPr>
        <w:rFonts w:ascii="Segoe UI" w:eastAsia="Segoe UI" w:hAnsi="Segoe UI" w:cs="Segoe UI"/>
        <w:b w:val="0"/>
        <w:bCs w:val="0"/>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870BA"/>
    <w:multiLevelType w:val="hybridMultilevel"/>
    <w:tmpl w:val="B5784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C0619C"/>
    <w:multiLevelType w:val="multilevel"/>
    <w:tmpl w:val="B09E1EFA"/>
    <w:lvl w:ilvl="0">
      <w:start w:val="1"/>
      <w:numFmt w:val="decimal"/>
      <w:lvlText w:val="%1."/>
      <w:lvlJc w:val="left"/>
      <w:rPr>
        <w:rFonts w:ascii="Segoe UI" w:eastAsia="Segoe UI" w:hAnsi="Segoe UI" w:cs="Segoe UI"/>
        <w:b/>
        <w:bCs/>
        <w:i/>
        <w:iCs/>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F31444"/>
    <w:multiLevelType w:val="hybridMultilevel"/>
    <w:tmpl w:val="91DE7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5"/>
    <w:rsid w:val="00124F13"/>
    <w:rsid w:val="002D7BBB"/>
    <w:rsid w:val="00405B5D"/>
    <w:rsid w:val="0041666E"/>
    <w:rsid w:val="006E1AA2"/>
    <w:rsid w:val="006E4F35"/>
    <w:rsid w:val="00E538A2"/>
    <w:rsid w:val="00F03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CC8C"/>
  <w15:docId w15:val="{B1ACC8DD-FDEB-4306-8D70-DA01180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Times New Roman" w:eastAsia="Times New Roman" w:hAnsi="Times New Roman" w:cs="Times New Roman"/>
      <w:b/>
      <w:bCs/>
      <w:i w:val="0"/>
      <w:iCs w:val="0"/>
      <w:smallCaps w:val="0"/>
      <w:strike w:val="0"/>
      <w:sz w:val="18"/>
      <w:szCs w:val="18"/>
      <w:u w:val="none"/>
    </w:rPr>
  </w:style>
  <w:style w:type="character" w:customStyle="1" w:styleId="Cuerpodeltexto7">
    <w:name w:val="Cuerpo del texto (7)_"/>
    <w:basedOn w:val="Fuentedeprrafopredeter"/>
    <w:link w:val="Cuerpodeltexto70"/>
    <w:rPr>
      <w:rFonts w:ascii="Segoe UI" w:eastAsia="Segoe UI" w:hAnsi="Segoe UI" w:cs="Segoe UI"/>
      <w:b/>
      <w:bCs/>
      <w:i w:val="0"/>
      <w:iCs w:val="0"/>
      <w:smallCaps w:val="0"/>
      <w:strike w:val="0"/>
      <w:sz w:val="18"/>
      <w:szCs w:val="18"/>
      <w:u w:val="none"/>
    </w:rPr>
  </w:style>
  <w:style w:type="character" w:customStyle="1" w:styleId="Cuerpodeltexto71">
    <w:name w:val="Cuerpo del texto (7)"/>
    <w:basedOn w:val="Cuerpodeltexto7"/>
    <w:rPr>
      <w:rFonts w:ascii="Segoe UI" w:eastAsia="Segoe UI" w:hAnsi="Segoe UI" w:cs="Segoe UI"/>
      <w:b/>
      <w:bCs/>
      <w:i w:val="0"/>
      <w:iCs w:val="0"/>
      <w:smallCaps w:val="0"/>
      <w:strike w:val="0"/>
      <w:color w:val="000000"/>
      <w:spacing w:val="0"/>
      <w:w w:val="100"/>
      <w:position w:val="0"/>
      <w:sz w:val="18"/>
      <w:szCs w:val="18"/>
      <w:u w:val="single"/>
      <w:lang w:val="es-ES" w:eastAsia="es-ES" w:bidi="es-ES"/>
    </w:rPr>
  </w:style>
  <w:style w:type="character" w:customStyle="1" w:styleId="Cuerpodeltexto3">
    <w:name w:val="Cuerpo del texto (3)_"/>
    <w:basedOn w:val="Fuentedeprrafopredeter"/>
    <w:link w:val="Cuerpodeltexto30"/>
    <w:rPr>
      <w:rFonts w:ascii="Segoe UI" w:eastAsia="Segoe UI" w:hAnsi="Segoe UI" w:cs="Segoe UI"/>
      <w:b w:val="0"/>
      <w:bCs w:val="0"/>
      <w:i/>
      <w:iCs/>
      <w:smallCaps w:val="0"/>
      <w:strike w:val="0"/>
      <w:sz w:val="18"/>
      <w:szCs w:val="18"/>
      <w:u w:val="none"/>
    </w:rPr>
  </w:style>
  <w:style w:type="character" w:customStyle="1" w:styleId="Cuerpodeltexto3Sincursiva">
    <w:name w:val="Cuerpo del texto (3) + Sin cursiva"/>
    <w:basedOn w:val="Cuerpodeltexto3"/>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character" w:customStyle="1" w:styleId="Cuerpodeltexto2">
    <w:name w:val="Cuerpo del texto (2)_"/>
    <w:basedOn w:val="Fuentedeprrafopredeter"/>
    <w:link w:val="Cuerpodeltexto20"/>
    <w:rPr>
      <w:rFonts w:ascii="Segoe UI" w:eastAsia="Segoe UI" w:hAnsi="Segoe UI" w:cs="Segoe UI"/>
      <w:b w:val="0"/>
      <w:bCs w:val="0"/>
      <w:i w:val="0"/>
      <w:iCs w:val="0"/>
      <w:smallCaps w:val="0"/>
      <w:strike w:val="0"/>
      <w:sz w:val="18"/>
      <w:szCs w:val="18"/>
      <w:u w:val="none"/>
    </w:rPr>
  </w:style>
  <w:style w:type="character" w:customStyle="1" w:styleId="Ttulo23">
    <w:name w:val="Título #2 (3)_"/>
    <w:basedOn w:val="Fuentedeprrafopredeter"/>
    <w:link w:val="Ttulo230"/>
    <w:rPr>
      <w:rFonts w:ascii="Segoe UI" w:eastAsia="Segoe UI" w:hAnsi="Segoe UI" w:cs="Segoe UI"/>
      <w:b/>
      <w:bCs/>
      <w:i/>
      <w:iCs/>
      <w:smallCaps w:val="0"/>
      <w:strike w:val="0"/>
      <w:sz w:val="19"/>
      <w:szCs w:val="19"/>
      <w:u w:val="none"/>
    </w:rPr>
  </w:style>
  <w:style w:type="character" w:customStyle="1" w:styleId="Ttulo23Espaciado1pto">
    <w:name w:val="Título #2 (3) + Espaciado 1 pto"/>
    <w:basedOn w:val="Ttulo23"/>
    <w:rPr>
      <w:rFonts w:ascii="Segoe UI" w:eastAsia="Segoe UI" w:hAnsi="Segoe UI" w:cs="Segoe UI"/>
      <w:b/>
      <w:bCs/>
      <w:i/>
      <w:iCs/>
      <w:smallCaps w:val="0"/>
      <w:strike w:val="0"/>
      <w:color w:val="000000"/>
      <w:spacing w:val="2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Segoe UI" w:eastAsia="Segoe UI" w:hAnsi="Segoe UI" w:cs="Segoe UI"/>
      <w:b/>
      <w:bCs/>
      <w:i/>
      <w:iCs/>
      <w:smallCaps w:val="0"/>
      <w:strike w:val="0"/>
      <w:sz w:val="19"/>
      <w:szCs w:val="19"/>
      <w:u w:val="none"/>
    </w:rPr>
  </w:style>
  <w:style w:type="character" w:customStyle="1" w:styleId="Leyendadelatabla">
    <w:name w:val="Leyenda de la tabla_"/>
    <w:basedOn w:val="Fuentedeprrafopredeter"/>
    <w:link w:val="Leyendadelatabla0"/>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basedOn w:val="Cuerpodeltexto2"/>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LeyendadelatablaNegrita">
    <w:name w:val="Leyenda de la tabla + Negrita"/>
    <w:basedOn w:val="Leyendadelatabla"/>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Leyendadelatabla3">
    <w:name w:val="Leyenda de la tabla (3)_"/>
    <w:basedOn w:val="Fuentedeprrafopredeter"/>
    <w:link w:val="Leyendadelatabla30"/>
    <w:rPr>
      <w:rFonts w:ascii="Segoe UI" w:eastAsia="Segoe UI" w:hAnsi="Segoe UI" w:cs="Segoe UI"/>
      <w:b/>
      <w:bCs/>
      <w:i w:val="0"/>
      <w:iCs w:val="0"/>
      <w:smallCaps w:val="0"/>
      <w:strike w:val="0"/>
      <w:sz w:val="18"/>
      <w:szCs w:val="18"/>
      <w:u w:val="none"/>
    </w:rPr>
  </w:style>
  <w:style w:type="character" w:customStyle="1" w:styleId="Cuerpodeltexto69ptoSinnegrita">
    <w:name w:val="Cuerpo del texto (6) + 9 pto;Sin negrita"/>
    <w:basedOn w:val="Cuerpodeltexto6"/>
    <w:rPr>
      <w:rFonts w:ascii="Segoe UI" w:eastAsia="Segoe UI" w:hAnsi="Segoe UI" w:cs="Segoe UI"/>
      <w:b/>
      <w:bCs/>
      <w:i/>
      <w:iCs/>
      <w:smallCaps w:val="0"/>
      <w:strike w:val="0"/>
      <w:color w:val="000000"/>
      <w:spacing w:val="0"/>
      <w:w w:val="100"/>
      <w:position w:val="0"/>
      <w:sz w:val="18"/>
      <w:szCs w:val="18"/>
      <w:u w:val="none"/>
      <w:lang w:val="es-ES" w:eastAsia="es-ES" w:bidi="es-ES"/>
    </w:rPr>
  </w:style>
  <w:style w:type="character" w:customStyle="1" w:styleId="Cuerpodeltexto6TimesNewRoman9ptoSincursiva">
    <w:name w:val="Cuerpo del texto (6) + Times New Roman;9 pto;Sin cursiva"/>
    <w:basedOn w:val="Cuerpodeltexto6"/>
    <w:rPr>
      <w:rFonts w:ascii="Times New Roman" w:eastAsia="Times New Roman" w:hAnsi="Times New Roman" w:cs="Times New Roman"/>
      <w:b/>
      <w:bCs/>
      <w:i/>
      <w:iCs/>
      <w:smallCaps w:val="0"/>
      <w:strike w:val="0"/>
      <w:color w:val="000000"/>
      <w:spacing w:val="0"/>
      <w:w w:val="100"/>
      <w:position w:val="0"/>
      <w:sz w:val="18"/>
      <w:szCs w:val="18"/>
      <w:u w:val="none"/>
      <w:lang w:val="es-ES" w:eastAsia="es-ES" w:bidi="es-ES"/>
    </w:rPr>
  </w:style>
  <w:style w:type="character" w:customStyle="1" w:styleId="Ttulo12">
    <w:name w:val="Título #1 (2)_"/>
    <w:basedOn w:val="Fuentedeprrafopredeter"/>
    <w:link w:val="Ttulo120"/>
    <w:rPr>
      <w:rFonts w:ascii="Segoe UI" w:eastAsia="Segoe UI" w:hAnsi="Segoe UI" w:cs="Segoe UI"/>
      <w:b/>
      <w:bCs/>
      <w:i w:val="0"/>
      <w:iCs w:val="0"/>
      <w:smallCaps w:val="0"/>
      <w:strike w:val="0"/>
      <w:sz w:val="20"/>
      <w:szCs w:val="20"/>
      <w:u w:val="none"/>
    </w:rPr>
  </w:style>
  <w:style w:type="character" w:customStyle="1" w:styleId="Ttulo121">
    <w:name w:val="Título #1 (2)"/>
    <w:basedOn w:val="Ttulo12"/>
    <w:rPr>
      <w:rFonts w:ascii="Segoe UI" w:eastAsia="Segoe UI" w:hAnsi="Segoe UI" w:cs="Segoe UI"/>
      <w:b/>
      <w:bCs/>
      <w:i w:val="0"/>
      <w:iCs w:val="0"/>
      <w:smallCaps w:val="0"/>
      <w:strike w:val="0"/>
      <w:color w:val="000000"/>
      <w:spacing w:val="0"/>
      <w:w w:val="100"/>
      <w:position w:val="0"/>
      <w:sz w:val="20"/>
      <w:szCs w:val="20"/>
      <w:u w:val="none"/>
      <w:lang w:val="es-ES" w:eastAsia="es-ES" w:bidi="es-ES"/>
    </w:rPr>
  </w:style>
  <w:style w:type="character" w:customStyle="1" w:styleId="Cuerpodeltexto11">
    <w:name w:val="Cuerpo del texto (11)_"/>
    <w:basedOn w:val="Fuentedeprrafopredeter"/>
    <w:link w:val="Cuerpodeltexto110"/>
    <w:rPr>
      <w:b w:val="0"/>
      <w:bCs w:val="0"/>
      <w:i w:val="0"/>
      <w:iCs w:val="0"/>
      <w:smallCaps w:val="0"/>
      <w:strike w:val="0"/>
      <w:sz w:val="19"/>
      <w:szCs w:val="19"/>
      <w:u w:val="none"/>
    </w:rPr>
  </w:style>
  <w:style w:type="character" w:customStyle="1" w:styleId="Cuerpodeltexto111">
    <w:name w:val="Cuerpo del texto (11)"/>
    <w:basedOn w:val="Cuerpodeltexto11"/>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s-ES" w:eastAsia="es-ES" w:bidi="es-ES"/>
    </w:rPr>
  </w:style>
  <w:style w:type="character" w:customStyle="1" w:styleId="Ttulo122">
    <w:name w:val="Título #1 (2)"/>
    <w:basedOn w:val="Ttulo12"/>
    <w:rPr>
      <w:rFonts w:ascii="Segoe UI" w:eastAsia="Segoe UI" w:hAnsi="Segoe UI" w:cs="Segoe UI"/>
      <w:b/>
      <w:bCs/>
      <w:i w:val="0"/>
      <w:iCs w:val="0"/>
      <w:smallCaps w:val="0"/>
      <w:strike w:val="0"/>
      <w:color w:val="000000"/>
      <w:spacing w:val="0"/>
      <w:w w:val="100"/>
      <w:position w:val="0"/>
      <w:sz w:val="20"/>
      <w:szCs w:val="20"/>
      <w:u w:val="none"/>
      <w:lang w:val="es-ES" w:eastAsia="es-ES" w:bidi="es-ES"/>
    </w:rPr>
  </w:style>
  <w:style w:type="paragraph" w:customStyle="1" w:styleId="Notaalpie0">
    <w:name w:val="Nota al pie"/>
    <w:basedOn w:val="Normal"/>
    <w:link w:val="Notaalpie"/>
    <w:pPr>
      <w:shd w:val="clear" w:color="auto" w:fill="FFFFFF"/>
      <w:spacing w:after="480" w:line="226" w:lineRule="exact"/>
    </w:pPr>
    <w:rPr>
      <w:rFonts w:ascii="Times New Roman" w:eastAsia="Times New Roman" w:hAnsi="Times New Roman" w:cs="Times New Roman"/>
      <w:b/>
      <w:bCs/>
      <w:sz w:val="18"/>
      <w:szCs w:val="18"/>
    </w:rPr>
  </w:style>
  <w:style w:type="paragraph" w:customStyle="1" w:styleId="Cuerpodeltexto70">
    <w:name w:val="Cuerpo del texto (7)"/>
    <w:basedOn w:val="Normal"/>
    <w:link w:val="Cuerpodeltexto7"/>
    <w:pPr>
      <w:shd w:val="clear" w:color="auto" w:fill="FFFFFF"/>
      <w:spacing w:line="0" w:lineRule="atLeast"/>
    </w:pPr>
    <w:rPr>
      <w:rFonts w:ascii="Segoe UI" w:eastAsia="Segoe UI" w:hAnsi="Segoe UI" w:cs="Segoe UI"/>
      <w:b/>
      <w:bCs/>
      <w:sz w:val="18"/>
      <w:szCs w:val="18"/>
    </w:rPr>
  </w:style>
  <w:style w:type="paragraph" w:customStyle="1" w:styleId="Cuerpodeltexto30">
    <w:name w:val="Cuerpo del texto (3)"/>
    <w:basedOn w:val="Normal"/>
    <w:link w:val="Cuerpodeltexto3"/>
    <w:pPr>
      <w:shd w:val="clear" w:color="auto" w:fill="FFFFFF"/>
      <w:spacing w:before="240" w:after="60" w:line="0" w:lineRule="atLeast"/>
      <w:jc w:val="both"/>
    </w:pPr>
    <w:rPr>
      <w:rFonts w:ascii="Segoe UI" w:eastAsia="Segoe UI" w:hAnsi="Segoe UI" w:cs="Segoe UI"/>
      <w:i/>
      <w:iCs/>
      <w:sz w:val="18"/>
      <w:szCs w:val="18"/>
    </w:rPr>
  </w:style>
  <w:style w:type="paragraph" w:customStyle="1" w:styleId="Cuerpodeltexto20">
    <w:name w:val="Cuerpo del texto (2)"/>
    <w:basedOn w:val="Normal"/>
    <w:link w:val="Cuerpodeltexto2"/>
    <w:pPr>
      <w:shd w:val="clear" w:color="auto" w:fill="FFFFFF"/>
      <w:spacing w:after="1380" w:line="0" w:lineRule="atLeast"/>
      <w:jc w:val="both"/>
    </w:pPr>
    <w:rPr>
      <w:rFonts w:ascii="Segoe UI" w:eastAsia="Segoe UI" w:hAnsi="Segoe UI" w:cs="Segoe UI"/>
      <w:sz w:val="18"/>
      <w:szCs w:val="18"/>
    </w:rPr>
  </w:style>
  <w:style w:type="paragraph" w:customStyle="1" w:styleId="Ttulo230">
    <w:name w:val="Título #2 (3)"/>
    <w:basedOn w:val="Normal"/>
    <w:link w:val="Ttulo23"/>
    <w:pPr>
      <w:shd w:val="clear" w:color="auto" w:fill="FFFFFF"/>
      <w:spacing w:before="180" w:line="269" w:lineRule="exact"/>
      <w:jc w:val="both"/>
      <w:outlineLvl w:val="1"/>
    </w:pPr>
    <w:rPr>
      <w:rFonts w:ascii="Segoe UI" w:eastAsia="Segoe UI" w:hAnsi="Segoe UI" w:cs="Segoe UI"/>
      <w:b/>
      <w:bCs/>
      <w:i/>
      <w:iCs/>
      <w:sz w:val="19"/>
      <w:szCs w:val="19"/>
    </w:rPr>
  </w:style>
  <w:style w:type="paragraph" w:customStyle="1" w:styleId="Cuerpodeltexto60">
    <w:name w:val="Cuerpo del texto (6)"/>
    <w:basedOn w:val="Normal"/>
    <w:link w:val="Cuerpodeltexto6"/>
    <w:pPr>
      <w:shd w:val="clear" w:color="auto" w:fill="FFFFFF"/>
      <w:spacing w:before="180" w:line="269" w:lineRule="exact"/>
      <w:jc w:val="both"/>
    </w:pPr>
    <w:rPr>
      <w:rFonts w:ascii="Segoe UI" w:eastAsia="Segoe UI" w:hAnsi="Segoe UI" w:cs="Segoe UI"/>
      <w:b/>
      <w:bCs/>
      <w:i/>
      <w:iCs/>
      <w:sz w:val="19"/>
      <w:szCs w:val="19"/>
    </w:rPr>
  </w:style>
  <w:style w:type="paragraph" w:customStyle="1" w:styleId="Leyendadelatabla0">
    <w:name w:val="Leyenda de la tabla"/>
    <w:basedOn w:val="Normal"/>
    <w:link w:val="Leyendadelatabla"/>
    <w:pPr>
      <w:shd w:val="clear" w:color="auto" w:fill="FFFFFF"/>
      <w:spacing w:line="269" w:lineRule="exact"/>
      <w:jc w:val="both"/>
    </w:pPr>
    <w:rPr>
      <w:rFonts w:ascii="Segoe UI" w:eastAsia="Segoe UI" w:hAnsi="Segoe UI" w:cs="Segoe UI"/>
      <w:sz w:val="18"/>
      <w:szCs w:val="18"/>
    </w:rPr>
  </w:style>
  <w:style w:type="paragraph" w:customStyle="1" w:styleId="Leyendadelatabla30">
    <w:name w:val="Leyenda de la tabla (3)"/>
    <w:basedOn w:val="Normal"/>
    <w:link w:val="Leyendadelatabla3"/>
    <w:pPr>
      <w:shd w:val="clear" w:color="auto" w:fill="FFFFFF"/>
      <w:spacing w:line="0" w:lineRule="atLeast"/>
    </w:pPr>
    <w:rPr>
      <w:rFonts w:ascii="Segoe UI" w:eastAsia="Segoe UI" w:hAnsi="Segoe UI" w:cs="Segoe UI"/>
      <w:b/>
      <w:bCs/>
      <w:sz w:val="18"/>
      <w:szCs w:val="18"/>
    </w:rPr>
  </w:style>
  <w:style w:type="paragraph" w:customStyle="1" w:styleId="Ttulo120">
    <w:name w:val="Título #1 (2)"/>
    <w:basedOn w:val="Normal"/>
    <w:link w:val="Ttulo12"/>
    <w:pPr>
      <w:shd w:val="clear" w:color="auto" w:fill="FFFFFF"/>
      <w:spacing w:before="480" w:after="480" w:line="0" w:lineRule="atLeast"/>
      <w:outlineLvl w:val="0"/>
    </w:pPr>
    <w:rPr>
      <w:rFonts w:ascii="Segoe UI" w:eastAsia="Segoe UI" w:hAnsi="Segoe UI" w:cs="Segoe UI"/>
      <w:b/>
      <w:bCs/>
      <w:sz w:val="20"/>
      <w:szCs w:val="20"/>
    </w:rPr>
  </w:style>
  <w:style w:type="paragraph" w:customStyle="1" w:styleId="Cuerpodeltexto110">
    <w:name w:val="Cuerpo del texto (11)"/>
    <w:basedOn w:val="Normal"/>
    <w:link w:val="Cuerpodeltexto11"/>
    <w:pPr>
      <w:shd w:val="clear" w:color="auto" w:fill="FFFFFF"/>
      <w:spacing w:before="480" w:after="60" w:line="0" w:lineRule="atLeast"/>
    </w:pPr>
    <w:rPr>
      <w:sz w:val="19"/>
      <w:szCs w:val="19"/>
    </w:rPr>
  </w:style>
  <w:style w:type="paragraph" w:styleId="Sinespaciado">
    <w:name w:val="No Spacing"/>
    <w:uiPriority w:val="1"/>
    <w:qFormat/>
    <w:rsid w:val="00E538A2"/>
    <w:rPr>
      <w:color w:val="000000"/>
    </w:rPr>
  </w:style>
  <w:style w:type="paragraph" w:styleId="Prrafodelista">
    <w:name w:val="List Paragraph"/>
    <w:basedOn w:val="Normal"/>
    <w:uiPriority w:val="34"/>
    <w:qFormat/>
    <w:rsid w:val="0012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2022-11-11T15:16:00Z</dcterms:created>
  <dcterms:modified xsi:type="dcterms:W3CDTF">2022-11-11T15:16:00Z</dcterms:modified>
</cp:coreProperties>
</file>