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COMUNICADO DE PRENSA DEL 14 DE MARZO DE 2023</w:t>
      </w: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UNIDAD DE GESTIÓN PENSIONAL Y PARAFISCALES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¡Atención empleadores! Programación de postulaciones 2023 del Incentivo de Generación de Nuevo Empleo 2023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val="es-CO" w:eastAsia="es-ES_tradnl"/>
        </w:rPr>
        <w:fldChar w:fldCharType="begin"/>
      </w:r>
      <w:r w:rsidRPr="00525B36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val="es-CO" w:eastAsia="es-ES_tradnl"/>
        </w:rPr>
        <w:instrText xml:space="preserve"> INCLUDEPICTURE "https://lh6.googleusercontent.com/17l2rPQg8lwWO82BkOolDC3hAvl6Fs-VSeFy-i88kZ0FhTUBWsNHqpnMC5hu3Jo7XSAeJ1BwKkZ3QlyfQgkI7HUoJmeY-qR1a2miQXP2gqGSwcrEM4qX4lH1zs-FgfaLjEZZoy-m-MLQ6o_NHTFSebKmkMVzIL1J8tnnjarylfAKIMKw_VCrkPU6d8TpxHqO" \* MERGEFORMATINET </w:instrText>
      </w:r>
      <w:r w:rsidRPr="00525B36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val="es-CO" w:eastAsia="es-ES_tradnl"/>
        </w:rPr>
        <w:fldChar w:fldCharType="separate"/>
      </w:r>
      <w:r w:rsidRPr="00525B36">
        <w:rPr>
          <w:rFonts w:ascii="Verdana" w:eastAsia="Times New Roman" w:hAnsi="Verdana" w:cs="Times New Roman"/>
          <w:b/>
          <w:bCs/>
          <w:noProof/>
          <w:color w:val="000000"/>
          <w:bdr w:val="none" w:sz="0" w:space="0" w:color="auto" w:frame="1"/>
          <w:lang w:val="es-CO" w:eastAsia="es-ES_tradnl"/>
        </w:rPr>
        <w:drawing>
          <wp:inline distT="0" distB="0" distL="0" distR="0">
            <wp:extent cx="5612130" cy="2806065"/>
            <wp:effectExtent l="0" t="0" r="1270" b="635"/>
            <wp:docPr id="1" name="Imagen 1" descr="https://lh6.googleusercontent.com/17l2rPQg8lwWO82BkOolDC3hAvl6Fs-VSeFy-i88kZ0FhTUBWsNHqpnMC5hu3Jo7XSAeJ1BwKkZ3QlyfQgkI7HUoJmeY-qR1a2miQXP2gqGSwcrEM4qX4lH1zs-FgfaLjEZZoy-m-MLQ6o_NHTFSebKmkMVzIL1J8tnnjarylfAKIMKw_VCrkPU6d8TpxH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17l2rPQg8lwWO82BkOolDC3hAvl6Fs-VSeFy-i88kZ0FhTUBWsNHqpnMC5hu3Jo7XSAeJ1BwKkZ3QlyfQgkI7HUoJmeY-qR1a2miQXP2gqGSwcrEM4qX4lH1zs-FgfaLjEZZoy-m-MLQ6o_NHTFSebKmkMVzIL1J8tnnjarylfAKIMKw_VCrkPU6d8TpxHq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B36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val="es-CO" w:eastAsia="es-ES_tradnl"/>
        </w:rPr>
        <w:fldChar w:fldCharType="end"/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Pueden postularse solo los empleadores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que aún no hayan recibido el beneficio 12 veces.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2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La programación 2023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empieza mañana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del 15 al 23 de marzo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3"/>
        </w:numPr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Los porcentajes de subsidios que se entregarán a los empleadores que vincularon trabajadores adicionales son: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25% de un salario mínimo por jóvenes entre 18 y 28 años; 15% por mujeres mayores de 28 años y 10% por hombres mayores de 28 años.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4"/>
        </w:numPr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Los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recursos solo se entregan a los empleadores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como un subsidio por los costos labores mensuales de sus nuevos trabajadores.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Bogotá, D.C., marzo 14 de 2023.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Con el propósito que todos los empleadores que aún no han recibido 12 veces el beneficio del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Incentivo a la Generación de Nuevo Empleo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se postulen, la Unidad de Gestión Pensional y Parafiscales UGPP dio a conocer la programación de las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 xml:space="preserve">4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lastRenderedPageBreak/>
        <w:t>convocatorias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previstas en 2023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de este importante programa que a la fecha ha protegido la generación de más de 760 mil nuevos puestos de trabajo en todo el país.</w:t>
      </w: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Las fechas de postulación de estas 4 convocatorias que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aplican solo para los empleadores que aún no hayan recibido el beneficio 12 veces, son: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5"/>
        </w:numPr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Del 15 al 23 de marzo</w:t>
      </w:r>
    </w:p>
    <w:p w:rsidR="00525B36" w:rsidRPr="00525B36" w:rsidRDefault="00525B36" w:rsidP="00525B36">
      <w:pPr>
        <w:numPr>
          <w:ilvl w:val="0"/>
          <w:numId w:val="5"/>
        </w:numPr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Del 17 al 25 de mayo</w:t>
      </w:r>
    </w:p>
    <w:p w:rsidR="00525B36" w:rsidRPr="00525B36" w:rsidRDefault="00525B36" w:rsidP="00525B36">
      <w:pPr>
        <w:numPr>
          <w:ilvl w:val="0"/>
          <w:numId w:val="5"/>
        </w:numPr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Del 27 de julio al 3 de agosto</w:t>
      </w:r>
    </w:p>
    <w:p w:rsidR="00525B36" w:rsidRPr="00525B36" w:rsidRDefault="00525B36" w:rsidP="00525B36">
      <w:pPr>
        <w:numPr>
          <w:ilvl w:val="0"/>
          <w:numId w:val="5"/>
        </w:numPr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Del 14 al 21 de septiembre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Este subsidio se entrega a los empleadores que aumentaron sus nóminas con la vinculación de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nuevos trabajadores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frente a los que tenían en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marzo de 2021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, y para quienes recibieron el subsidio antes de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octubre de 2022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Las postulaciones se realizan exclusivamente en las entidades financieras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y quienes cumplan con los requisitos del incentivo pueden recibir subsidios por los nuevos empleos generados, así: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6"/>
        </w:numPr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$290.000 por cada joven de 18 a 28 años adicional vinculado.</w:t>
      </w:r>
    </w:p>
    <w:p w:rsidR="00525B36" w:rsidRPr="00525B36" w:rsidRDefault="00525B36" w:rsidP="00525B36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</w:p>
    <w:p w:rsidR="00525B36" w:rsidRPr="00525B36" w:rsidRDefault="00525B36" w:rsidP="00525B36">
      <w:pPr>
        <w:numPr>
          <w:ilvl w:val="0"/>
          <w:numId w:val="6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$174.000 por cada mujer vinculada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mayor de 28 años que devengue hasta 3 salarios mínimos.</w:t>
      </w:r>
    </w:p>
    <w:p w:rsidR="00525B36" w:rsidRPr="00525B36" w:rsidRDefault="00525B36" w:rsidP="00525B36">
      <w:pPr>
        <w:numPr>
          <w:ilvl w:val="0"/>
          <w:numId w:val="6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$116.000 por integrar a su nómina cada hombre mayor de 28 años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que devengue hasta 3 salarios mínimos.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En la convocatoria del mes de marzo, los empleadores pueden aplicar a 2 ciclos para recibir la ayuda en el pago de los salarios correspondiente a las nóminas de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enero y febrero de 2023.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Balance: resultados de postulación a diciembre 2022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A la fecha se han realizado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18 convocatorias del incentivo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, con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760.743 nuevos puestos de trabajo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, distribuidos así: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7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564.213 jóvenes entre 18 y 28 años</w:t>
      </w:r>
    </w:p>
    <w:p w:rsidR="00525B36" w:rsidRPr="00525B36" w:rsidRDefault="00525B36" w:rsidP="00525B36">
      <w:pPr>
        <w:numPr>
          <w:ilvl w:val="0"/>
          <w:numId w:val="7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104.809 mujeres mayores de 28 años</w:t>
      </w:r>
    </w:p>
    <w:p w:rsidR="00525B36" w:rsidRPr="00525B36" w:rsidRDefault="00525B36" w:rsidP="00525B36">
      <w:pPr>
        <w:numPr>
          <w:ilvl w:val="0"/>
          <w:numId w:val="7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91.721 hombres mayores de 28 años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lastRenderedPageBreak/>
        <w:t xml:space="preserve">Se han beneficiado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25.480 empleadores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de todos los sectores económicos con la entrega de </w:t>
      </w: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$596.882 millones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en subsidios.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Las zonas del país con mayor número de empleadores beneficiados registran los siguientes datos:</w:t>
      </w:r>
    </w:p>
    <w:p w:rsidR="00525B36" w:rsidRPr="00525B36" w:rsidRDefault="00525B36" w:rsidP="00525B36">
      <w:pPr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Bogotá D.C.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Empleadores beneficiados 8.424 con 341.605 nuevos puestos de trabajo.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9"/>
        </w:numPr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Antioquia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5.302 empleadores beneficiados con 147.390 nuevos puestos de trabajo.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Las actividades que registraron una mayor generación de nuevos puestos de trabajo, 185.756 en su conjunto, fueron: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10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Comercio al por mayor y al por menor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(76.517 nuevos empleos)</w:t>
      </w:r>
    </w:p>
    <w:p w:rsidR="00525B36" w:rsidRPr="00525B36" w:rsidRDefault="00525B36" w:rsidP="00525B36">
      <w:pPr>
        <w:numPr>
          <w:ilvl w:val="0"/>
          <w:numId w:val="10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Industrias manufactureras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(73.551 nuevos empleos)</w:t>
      </w:r>
    </w:p>
    <w:p w:rsidR="00525B36" w:rsidRPr="00525B36" w:rsidRDefault="00525B36" w:rsidP="00525B36">
      <w:pPr>
        <w:numPr>
          <w:ilvl w:val="0"/>
          <w:numId w:val="10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Actividades profesionales, científicas y técnicas</w:t>
      </w: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 xml:space="preserve"> (35.688 nuevos empleos)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A este programa se pueden postular los empleadores de todos los sectores económicos y tamaños de empresas, excepto: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11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Entidades o sociedades con participación de la Nación y/o sus entidades descentralizadas superior al 50% de su capital.</w:t>
      </w:r>
    </w:p>
    <w:p w:rsidR="00525B36" w:rsidRPr="00525B36" w:rsidRDefault="00525B36" w:rsidP="00525B36">
      <w:pPr>
        <w:numPr>
          <w:ilvl w:val="0"/>
          <w:numId w:val="11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Personas naturales expuestas políticamente -PEP- (Decreto 1674 de 2016).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t>Requisitos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12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Haber vinculado trabajadores adicionales, de manera formal, frente a lo registrado en PILA en marzo de 2021.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13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Tener un producto de depósito en una entidad financiera.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14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Estar al día en el pago de salarios y aportes al sistema de la protección social en todos los trabajadores.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525B36" w:rsidRPr="00525B36" w:rsidRDefault="00525B36" w:rsidP="00525B36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Verdana" w:eastAsia="Times New Roman" w:hAnsi="Verdana" w:cs="Times New Roman"/>
          <w:b/>
          <w:bCs/>
          <w:color w:val="000000"/>
          <w:lang w:val="es-CO" w:eastAsia="es-ES_tradnl"/>
        </w:rPr>
        <w:lastRenderedPageBreak/>
        <w:t>Documentos para postularse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15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Formulario de postulación diligenciado y firmado por Representante legal, persona natural empleadora o Promotor o liquidador, si la empresa postulante está en reestructuración o liquidación.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16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Certificación firmada por la persona natural empleadora, o representante legal y el revisor fiscal o contador público, que señale: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17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Que los empleados sobre los que recibirá el aporte recibieron el salario del mes anterior y están al día el pago de aportes a seguridad social.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18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Si se han adelantado procesos de sustitución patronal o de empleador después de marzo de 2021</w:t>
      </w:r>
    </w:p>
    <w:p w:rsidR="00525B36" w:rsidRPr="00525B36" w:rsidRDefault="00525B36" w:rsidP="00525B36">
      <w:pPr>
        <w:rPr>
          <w:rFonts w:ascii="Times New Roman" w:eastAsia="Times New Roman" w:hAnsi="Times New Roman" w:cs="Times New Roman"/>
          <w:lang w:val="es-CO" w:eastAsia="es-ES_tradnl"/>
        </w:rPr>
      </w:pPr>
      <w:r w:rsidRPr="00525B36">
        <w:rPr>
          <w:rFonts w:ascii="Times New Roman" w:eastAsia="Times New Roman" w:hAnsi="Times New Roman" w:cs="Times New Roman"/>
          <w:lang w:val="es-CO" w:eastAsia="es-ES_tradnl"/>
        </w:rPr>
        <w:br/>
      </w:r>
    </w:p>
    <w:p w:rsidR="00525B36" w:rsidRPr="00525B36" w:rsidRDefault="00525B36" w:rsidP="00525B36">
      <w:pPr>
        <w:numPr>
          <w:ilvl w:val="0"/>
          <w:numId w:val="19"/>
        </w:numPr>
        <w:jc w:val="both"/>
        <w:textAlignment w:val="baseline"/>
        <w:rPr>
          <w:rFonts w:ascii="Verdana" w:eastAsia="Times New Roman" w:hAnsi="Verdana" w:cs="Times New Roman"/>
          <w:color w:val="000000"/>
          <w:lang w:val="es-CO" w:eastAsia="es-ES_tradnl"/>
        </w:rPr>
      </w:pPr>
      <w:r w:rsidRPr="00525B36">
        <w:rPr>
          <w:rFonts w:ascii="Verdana" w:eastAsia="Times New Roman" w:hAnsi="Verdana" w:cs="Times New Roman"/>
          <w:color w:val="000000"/>
          <w:lang w:val="es-CO" w:eastAsia="es-ES_tradnl"/>
        </w:rPr>
        <w:t>Copia del Registro Único Tributario, RUT, expedido dentro de los seis meses previos a la postulación.</w:t>
      </w:r>
    </w:p>
    <w:p w:rsidR="00770A20" w:rsidRPr="00525B36" w:rsidRDefault="00770A20">
      <w:pPr>
        <w:rPr>
          <w:lang w:val="es-CO"/>
        </w:rPr>
      </w:pPr>
      <w:bookmarkStart w:id="0" w:name="_GoBack"/>
      <w:bookmarkEnd w:id="0"/>
    </w:p>
    <w:sectPr w:rsidR="00770A20" w:rsidRPr="00525B36" w:rsidSect="00B8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90A"/>
    <w:multiLevelType w:val="multilevel"/>
    <w:tmpl w:val="00B8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F2925"/>
    <w:multiLevelType w:val="multilevel"/>
    <w:tmpl w:val="5100F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1736A"/>
    <w:multiLevelType w:val="hybridMultilevel"/>
    <w:tmpl w:val="D92C21C0"/>
    <w:lvl w:ilvl="0" w:tplc="100C21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AEF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C14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09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28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E5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64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2B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C4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306A0"/>
    <w:multiLevelType w:val="multilevel"/>
    <w:tmpl w:val="A6F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75DE6"/>
    <w:multiLevelType w:val="multilevel"/>
    <w:tmpl w:val="2FD4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C585C"/>
    <w:multiLevelType w:val="multilevel"/>
    <w:tmpl w:val="3A2A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71F45"/>
    <w:multiLevelType w:val="multilevel"/>
    <w:tmpl w:val="C144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D29E5"/>
    <w:multiLevelType w:val="multilevel"/>
    <w:tmpl w:val="F7A4D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258AB"/>
    <w:multiLevelType w:val="multilevel"/>
    <w:tmpl w:val="AC8A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D0945"/>
    <w:multiLevelType w:val="multilevel"/>
    <w:tmpl w:val="8FB6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E2CF6"/>
    <w:multiLevelType w:val="multilevel"/>
    <w:tmpl w:val="0A1A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9394A"/>
    <w:multiLevelType w:val="multilevel"/>
    <w:tmpl w:val="005C3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D369B"/>
    <w:multiLevelType w:val="multilevel"/>
    <w:tmpl w:val="0916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E83769"/>
    <w:multiLevelType w:val="multilevel"/>
    <w:tmpl w:val="F41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25287D"/>
    <w:multiLevelType w:val="multilevel"/>
    <w:tmpl w:val="EF5A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D911B8"/>
    <w:multiLevelType w:val="multilevel"/>
    <w:tmpl w:val="F1E8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60443"/>
    <w:multiLevelType w:val="multilevel"/>
    <w:tmpl w:val="730A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7A0155"/>
    <w:multiLevelType w:val="multilevel"/>
    <w:tmpl w:val="7032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708D0"/>
    <w:multiLevelType w:val="multilevel"/>
    <w:tmpl w:val="A43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6"/>
  </w:num>
  <w:num w:numId="5">
    <w:abstractNumId w:val="5"/>
  </w:num>
  <w:num w:numId="6">
    <w:abstractNumId w:val="3"/>
  </w:num>
  <w:num w:numId="7">
    <w:abstractNumId w:val="16"/>
  </w:num>
  <w:num w:numId="8">
    <w:abstractNumId w:val="0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13"/>
  </w:num>
  <w:num w:numId="12">
    <w:abstractNumId w:val="14"/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lowerLetter"/>
        <w:lvlText w:val="%1."/>
        <w:lvlJc w:val="left"/>
      </w:lvl>
    </w:lvlOverride>
  </w:num>
  <w:num w:numId="16">
    <w:abstractNumId w:val="2"/>
  </w:num>
  <w:num w:numId="17">
    <w:abstractNumId w:val="12"/>
  </w:num>
  <w:num w:numId="18">
    <w:abstractNumId w:val="18"/>
  </w:num>
  <w:num w:numId="19">
    <w:abstractNumId w:val="9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36"/>
    <w:rsid w:val="00525B36"/>
    <w:rsid w:val="00770A20"/>
    <w:rsid w:val="00B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5888B2"/>
  <w14:defaultImageDpi w14:val="32767"/>
  <w15:chartTrackingRefBased/>
  <w15:docId w15:val="{0EAFE7B4-A8E3-5F4B-817C-5359833C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B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2023-03-22T20:02:00Z</dcterms:created>
  <dcterms:modified xsi:type="dcterms:W3CDTF">2023-03-22T20:03:00Z</dcterms:modified>
</cp:coreProperties>
</file>