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9F5E1" w14:textId="77777777" w:rsidR="000575FB" w:rsidRPr="000575FB" w:rsidRDefault="000575FB" w:rsidP="000575F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0575F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COMUNICADO DE PRENSA 75 DEL 19 DE AGOSTO DE 2025</w:t>
      </w:r>
    </w:p>
    <w:p w14:paraId="7D4AB56A" w14:textId="77777777" w:rsidR="000575FB" w:rsidRPr="000575FB" w:rsidRDefault="000575FB" w:rsidP="000575F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0575F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DIRECCIÓN DE IMPUESTOS Y ADUANAS NACIONALES</w:t>
      </w:r>
    </w:p>
    <w:p w14:paraId="361EAD4D" w14:textId="77777777" w:rsidR="000575FB" w:rsidRPr="000575FB" w:rsidRDefault="000575FB" w:rsidP="000575F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1EB3E4F" w14:textId="77777777" w:rsidR="000575FB" w:rsidRPr="000575FB" w:rsidRDefault="000575FB" w:rsidP="000575F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0575F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19/08/2025 | Bogotá, D.C.</w:t>
      </w:r>
    </w:p>
    <w:p w14:paraId="48C246A6" w14:textId="437C4456" w:rsidR="000575FB" w:rsidRPr="000575FB" w:rsidRDefault="000575FB" w:rsidP="000575F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0575FB">
        <w:rPr>
          <w:rFonts w:ascii="Verdana" w:eastAsia="Times New Roman" w:hAnsi="Verdana" w:cs="Times New Roman"/>
          <w:color w:val="000000"/>
          <w:kern w:val="0"/>
          <w:bdr w:val="none" w:sz="0" w:space="0" w:color="auto" w:frame="1"/>
          <w:lang w:val="es-CO" w:eastAsia="es-MX"/>
          <w14:ligatures w14:val="none"/>
        </w:rPr>
        <w:fldChar w:fldCharType="begin"/>
      </w:r>
      <w:r w:rsidRPr="000575FB">
        <w:rPr>
          <w:rFonts w:ascii="Verdana" w:eastAsia="Times New Roman" w:hAnsi="Verdana" w:cs="Times New Roman"/>
          <w:color w:val="000000"/>
          <w:kern w:val="0"/>
          <w:bdr w:val="none" w:sz="0" w:space="0" w:color="auto" w:frame="1"/>
          <w:lang w:val="es-CO" w:eastAsia="es-MX"/>
          <w14:ligatures w14:val="none"/>
        </w:rPr>
        <w:instrText xml:space="preserve"> INCLUDEPICTURE "https://lh7-rt.googleusercontent.com/docsz/AD_4nXfLwcBSKi1QZUbHevIEH1g1up-TJOQHNnpl5rYtYhDvR11Zi_Yq04flxcqS-__nS49cGU2s-qMv_XBoEbD3D3zTqnSw6dPQxZvBAMzEdxvab4VUHBqLfqeIwkc01n5XdpKA-cnwx8WxTeZM6xuHQi8?key=efrMOHqI4UIYTZOFPuuV-Q" \* MERGEFORMATINET </w:instrText>
      </w:r>
      <w:r w:rsidRPr="000575FB">
        <w:rPr>
          <w:rFonts w:ascii="Verdana" w:eastAsia="Times New Roman" w:hAnsi="Verdana" w:cs="Times New Roman"/>
          <w:color w:val="000000"/>
          <w:kern w:val="0"/>
          <w:bdr w:val="none" w:sz="0" w:space="0" w:color="auto" w:frame="1"/>
          <w:lang w:val="es-CO" w:eastAsia="es-MX"/>
          <w14:ligatures w14:val="none"/>
        </w:rPr>
        <w:fldChar w:fldCharType="separate"/>
      </w:r>
      <w:r w:rsidRPr="000575FB">
        <w:rPr>
          <w:rFonts w:ascii="Verdana" w:eastAsia="Times New Roman" w:hAnsi="Verdana" w:cs="Times New Roman"/>
          <w:noProof/>
          <w:color w:val="000000"/>
          <w:kern w:val="0"/>
          <w:bdr w:val="none" w:sz="0" w:space="0" w:color="auto" w:frame="1"/>
          <w:lang w:val="es-CO" w:eastAsia="es-MX"/>
          <w14:ligatures w14:val="none"/>
        </w:rPr>
        <w:drawing>
          <wp:inline distT="0" distB="0" distL="0" distR="0" wp14:anchorId="3564AF68" wp14:editId="5EF6F75B">
            <wp:extent cx="5612130" cy="1921510"/>
            <wp:effectExtent l="0" t="0" r="1270" b="0"/>
            <wp:docPr id="1468890852" name="Imagen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terfaz de usuario gráfica, Texto, Aplicación, Correo electrónic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92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75FB">
        <w:rPr>
          <w:rFonts w:ascii="Verdana" w:eastAsia="Times New Roman" w:hAnsi="Verdana" w:cs="Times New Roman"/>
          <w:color w:val="000000"/>
          <w:kern w:val="0"/>
          <w:bdr w:val="none" w:sz="0" w:space="0" w:color="auto" w:frame="1"/>
          <w:lang w:val="es-CO" w:eastAsia="es-MX"/>
          <w14:ligatures w14:val="none"/>
        </w:rPr>
        <w:fldChar w:fldCharType="end"/>
      </w:r>
    </w:p>
    <w:p w14:paraId="601D21FF" w14:textId="77777777" w:rsidR="000575FB" w:rsidRPr="000575FB" w:rsidRDefault="000575FB" w:rsidP="000575F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8AE2FB7" w14:textId="77777777" w:rsidR="000575FB" w:rsidRPr="000575FB" w:rsidRDefault="000575FB" w:rsidP="000575F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0575F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Con analítica de datos y modelos predictivos, DIAN va por más de $2,2 billones de cartera vencida.</w:t>
      </w:r>
    </w:p>
    <w:p w14:paraId="2D6977E4" w14:textId="77777777" w:rsidR="000575FB" w:rsidRPr="000575FB" w:rsidRDefault="000575FB" w:rsidP="000575F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2293BB2" w14:textId="77777777" w:rsidR="000575FB" w:rsidRPr="000575FB" w:rsidRDefault="000575FB" w:rsidP="000575F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0575FB">
        <w:rPr>
          <w:rFonts w:ascii="Verdana" w:eastAsia="Times New Roman" w:hAnsi="Verdana" w:cs="Times New Roman"/>
          <w:b/>
          <w:bCs/>
          <w:i/>
          <w:iCs/>
          <w:color w:val="000000"/>
          <w:kern w:val="0"/>
          <w:lang w:val="es-CO" w:eastAsia="es-MX"/>
          <w14:ligatures w14:val="none"/>
        </w:rPr>
        <w:t xml:space="preserve">El uso de algoritmos y técnicas de machine </w:t>
      </w:r>
      <w:proofErr w:type="spellStart"/>
      <w:r w:rsidRPr="000575FB">
        <w:rPr>
          <w:rFonts w:ascii="Verdana" w:eastAsia="Times New Roman" w:hAnsi="Verdana" w:cs="Times New Roman"/>
          <w:b/>
          <w:bCs/>
          <w:i/>
          <w:iCs/>
          <w:color w:val="000000"/>
          <w:kern w:val="0"/>
          <w:lang w:val="es-CO" w:eastAsia="es-MX"/>
          <w14:ligatures w14:val="none"/>
        </w:rPr>
        <w:t>learning</w:t>
      </w:r>
      <w:proofErr w:type="spellEnd"/>
      <w:r w:rsidRPr="000575FB">
        <w:rPr>
          <w:rFonts w:ascii="Verdana" w:eastAsia="Times New Roman" w:hAnsi="Verdana" w:cs="Times New Roman"/>
          <w:b/>
          <w:bCs/>
          <w:i/>
          <w:iCs/>
          <w:color w:val="000000"/>
          <w:kern w:val="0"/>
          <w:lang w:val="es-CO" w:eastAsia="es-MX"/>
          <w14:ligatures w14:val="none"/>
        </w:rPr>
        <w:t xml:space="preserve"> permitió identificar a 8.440 contribuyentes que adeudan más de $2.2 billones y tienen capacidad económica para ponerse al día con la DIAN.</w:t>
      </w:r>
      <w:r w:rsidRPr="000575F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 </w:t>
      </w:r>
    </w:p>
    <w:p w14:paraId="42E3FBA6" w14:textId="77777777" w:rsidR="000575FB" w:rsidRPr="000575FB" w:rsidRDefault="000575FB" w:rsidP="000575F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F39DCEE" w14:textId="77777777" w:rsidR="000575FB" w:rsidRPr="000575FB" w:rsidRDefault="000575FB" w:rsidP="000575F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0575F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Bogotá, D.C., 19 de agosto de 2025.</w:t>
      </w:r>
      <w:r w:rsidRPr="000575F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 </w:t>
      </w:r>
    </w:p>
    <w:p w14:paraId="29DD7732" w14:textId="77777777" w:rsidR="000575FB" w:rsidRPr="000575FB" w:rsidRDefault="000575FB" w:rsidP="000575F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0327FBF" w14:textId="77777777" w:rsidR="000575FB" w:rsidRPr="000575FB" w:rsidRDefault="000575FB" w:rsidP="000575F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0575F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En una acción sin precedentes, e incorporando un enfoque de </w:t>
      </w:r>
      <w:r w:rsidRPr="000575F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analítica de datos y modelos predictivos</w:t>
      </w:r>
      <w:r w:rsidRPr="000575F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para focalizar sus acciones de cobro a contribuyentes morosos, la Dirección de Impuestos y Aduanas Nacionales (DIAN) activó para agosto la campaña nacional </w:t>
      </w:r>
      <w:r w:rsidRPr="000575F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 xml:space="preserve">'Al día con la DIAN, le cumplo al país', </w:t>
      </w:r>
      <w:r w:rsidRPr="000575F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una jornada que se extenderá hasta el día 29 de mes, con el objetivo de gestionar más de </w:t>
      </w:r>
      <w:r w:rsidRPr="000575F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$2,2 billones en cartera vencida</w:t>
      </w:r>
      <w:r w:rsidRPr="000575F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. </w:t>
      </w:r>
    </w:p>
    <w:p w14:paraId="1C5BA046" w14:textId="77777777" w:rsidR="000575FB" w:rsidRPr="000575FB" w:rsidRDefault="000575FB" w:rsidP="000575F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22067C3" w14:textId="77777777" w:rsidR="000575FB" w:rsidRPr="000575FB" w:rsidRDefault="000575FB" w:rsidP="000575F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0575F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Mediante el uso de algoritmos, técnicas de machine </w:t>
      </w:r>
      <w:proofErr w:type="spellStart"/>
      <w:r w:rsidRPr="000575F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learning</w:t>
      </w:r>
      <w:proofErr w:type="spellEnd"/>
      <w:r w:rsidRPr="000575F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y métodos estadísticos la DIAN ha identificado a </w:t>
      </w:r>
      <w:r w:rsidRPr="000575F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8.440 contribuyentes</w:t>
      </w:r>
      <w:r w:rsidRPr="000575F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con obligaciones en mora y capacidad económica para ponerse al día. Este enfoque innovador permite a la entidad </w:t>
      </w:r>
      <w:r w:rsidRPr="000575F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predecir comportamientos de pago</w:t>
      </w:r>
      <w:r w:rsidRPr="000575F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y priorizar casos con alta probabilidad de recuperación, optimizando así sus esfuerzos de recaudo. </w:t>
      </w:r>
    </w:p>
    <w:p w14:paraId="30395E83" w14:textId="77777777" w:rsidR="000575FB" w:rsidRPr="000575FB" w:rsidRDefault="000575FB" w:rsidP="000575F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3EB83B0" w14:textId="77777777" w:rsidR="000575FB" w:rsidRPr="000575FB" w:rsidRDefault="000575FB" w:rsidP="000575F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0575F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Estas acciones están siendo ejecutadas con base en la segmentación predictiva de la cartera, lo que permite </w:t>
      </w:r>
      <w:r w:rsidRPr="000575F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 xml:space="preserve">clasificar las deudas según su antigüedad </w:t>
      </w:r>
      <w:r w:rsidRPr="000575F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y enfocar esfuerzos hacia los contribuyentes con mayor capacidad y disposición de pago. “Este es un paso decisivo hacia un cobro más inteligente y focalizado.</w:t>
      </w:r>
    </w:p>
    <w:p w14:paraId="1D27B4FB" w14:textId="77777777" w:rsidR="000575FB" w:rsidRPr="000575FB" w:rsidRDefault="000575FB" w:rsidP="000575F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756C3F3" w14:textId="77777777" w:rsidR="000575FB" w:rsidRPr="000575FB" w:rsidRDefault="000575FB" w:rsidP="000575F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0575F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La analítica nos permite actuar con rapidez y precisión para asegurar que los recursos públicos lleguen a donde deben estar", señaló Luis Eduardo Llinás, director general (e) de la DIAN. </w:t>
      </w:r>
    </w:p>
    <w:p w14:paraId="76A7EEAE" w14:textId="77777777" w:rsidR="000575FB" w:rsidRPr="000575FB" w:rsidRDefault="000575FB" w:rsidP="000575F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37C8C43" w14:textId="77777777" w:rsidR="000575FB" w:rsidRPr="000575FB" w:rsidRDefault="000575FB" w:rsidP="000575F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0575F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La estrategia contempla un paquete de medidas contundentes, entre las que se destacan: </w:t>
      </w:r>
    </w:p>
    <w:p w14:paraId="7C1DB456" w14:textId="77777777" w:rsidR="000575FB" w:rsidRPr="000575FB" w:rsidRDefault="000575FB" w:rsidP="000575F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0575FB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1A9C4AD2" w14:textId="77777777" w:rsidR="000575FB" w:rsidRPr="000575FB" w:rsidRDefault="000575FB" w:rsidP="000575FB">
      <w:pPr>
        <w:numPr>
          <w:ilvl w:val="0"/>
          <w:numId w:val="1"/>
        </w:numPr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sz w:val="20"/>
          <w:szCs w:val="20"/>
          <w:lang w:val="es-CO" w:eastAsia="es-MX"/>
          <w14:ligatures w14:val="none"/>
        </w:rPr>
      </w:pPr>
      <w:r w:rsidRPr="000575F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7.890 visitas a contribuyentes con deudas cercanas a $1,2 billones, priorizando obligaciones con entre uno y dos años de antigüedad. </w:t>
      </w:r>
    </w:p>
    <w:p w14:paraId="78EF0C43" w14:textId="77777777" w:rsidR="000575FB" w:rsidRPr="000575FB" w:rsidRDefault="000575FB" w:rsidP="000575FB">
      <w:pPr>
        <w:numPr>
          <w:ilvl w:val="0"/>
          <w:numId w:val="1"/>
        </w:numPr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sz w:val="20"/>
          <w:szCs w:val="20"/>
          <w:lang w:val="es-CO" w:eastAsia="es-MX"/>
          <w14:ligatures w14:val="none"/>
        </w:rPr>
      </w:pPr>
      <w:r w:rsidRPr="000575F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Gestión de 5.110 depósitos judiciales por un valor de $54.228 millones, derivados de procesos de cobro a 550 contribuyentes. </w:t>
      </w:r>
    </w:p>
    <w:p w14:paraId="05B66C77" w14:textId="77777777" w:rsidR="000575FB" w:rsidRPr="000575FB" w:rsidRDefault="000575FB" w:rsidP="000575FB">
      <w:pPr>
        <w:numPr>
          <w:ilvl w:val="0"/>
          <w:numId w:val="1"/>
        </w:numPr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sz w:val="20"/>
          <w:szCs w:val="20"/>
          <w:lang w:val="es-CO" w:eastAsia="es-MX"/>
          <w14:ligatures w14:val="none"/>
        </w:rPr>
      </w:pPr>
      <w:r w:rsidRPr="000575F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Imposición de 3.400 medidas cautelares sobre sumas de dinero, dirigidas a cartera con más de tres años de vencimiento, por un monto cercano a $1 billón. </w:t>
      </w:r>
    </w:p>
    <w:p w14:paraId="426BC9F4" w14:textId="77777777" w:rsidR="000575FB" w:rsidRPr="000575FB" w:rsidRDefault="000575FB" w:rsidP="000575F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C2F5C60" w14:textId="77777777" w:rsidR="000575FB" w:rsidRPr="000575FB" w:rsidRDefault="000575FB" w:rsidP="000575F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0575F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El director Llinás reiteró que las </w:t>
      </w:r>
      <w:r w:rsidRPr="000575F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medidas cautelares</w:t>
      </w:r>
      <w:r w:rsidRPr="000575F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buscan garantizar que los bienes y recursos de los deudores no se dispersen antes del pago de sus obligaciones. Asimismo, hizo un llamado a los contribuyentes morosos para que se acojan a los mecanismos de regularización antes de la aplicación de medidas judiciales. </w:t>
      </w:r>
    </w:p>
    <w:p w14:paraId="7FF79454" w14:textId="77777777" w:rsidR="000575FB" w:rsidRPr="000575FB" w:rsidRDefault="000575FB" w:rsidP="000575F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8026954" w14:textId="77777777" w:rsidR="000575FB" w:rsidRPr="000575FB" w:rsidRDefault="000575FB" w:rsidP="000575F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0575F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En paralelo, este 12 de agosto la DIAN adelantó el evento virtual </w:t>
      </w:r>
      <w:r w:rsidRPr="000575F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'Evite consecuencias penales por no pagar sus impuestos en mora'</w:t>
      </w:r>
      <w:r w:rsidRPr="000575F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, que contó con la participación de </w:t>
      </w:r>
      <w:r w:rsidRPr="000575F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4.900 contribuyentes</w:t>
      </w:r>
      <w:r w:rsidRPr="000575F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. Durante esta actividad, se explicaron los riesgos legales del incumplimiento fiscal, incluyendo la posibilidad de enfrentar procesos penales en casos de impuestos recaudados, pero no entregados al Estado. </w:t>
      </w:r>
    </w:p>
    <w:p w14:paraId="6F8F9D4B" w14:textId="77777777" w:rsidR="000575FB" w:rsidRPr="000575FB" w:rsidRDefault="000575FB" w:rsidP="000575F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0575F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Descargue aquí el Comunicado de Prensa.</w:t>
      </w:r>
    </w:p>
    <w:p w14:paraId="73924805" w14:textId="77777777" w:rsidR="000575FB" w:rsidRPr="000575FB" w:rsidRDefault="000575FB" w:rsidP="000575F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240B172" w14:textId="77777777" w:rsidR="00537D8F" w:rsidRDefault="00537D8F"/>
    <w:sectPr w:rsidR="00537D8F" w:rsidSect="00B83A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904D2C"/>
    <w:multiLevelType w:val="multilevel"/>
    <w:tmpl w:val="867CD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823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5FB"/>
    <w:rsid w:val="000575FB"/>
    <w:rsid w:val="000B2285"/>
    <w:rsid w:val="00216E43"/>
    <w:rsid w:val="00537D8F"/>
    <w:rsid w:val="00B83A7B"/>
    <w:rsid w:val="00F9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CE8CDF4"/>
  <w14:defaultImageDpi w14:val="32767"/>
  <w15:chartTrackingRefBased/>
  <w15:docId w15:val="{1499A128-97A6-BF47-B6D5-2C538E9F0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575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575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575F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575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575F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575F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575F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575F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575F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575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575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575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575F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575FB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575F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575F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575F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575F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575F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575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575F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575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575F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575F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575F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575FB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575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575FB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575FB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0575F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CO"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504</Words>
  <Characters>2778</Characters>
  <Application>Microsoft Office Word</Application>
  <DocSecurity>0</DocSecurity>
  <Lines>23</Lines>
  <Paragraphs>6</Paragraphs>
  <ScaleCrop>false</ScaleCrop>
  <Company/>
  <LinksUpToDate>false</LinksUpToDate>
  <CharactersWithSpaces>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cote</dc:creator>
  <cp:keywords/>
  <dc:description/>
  <cp:lastModifiedBy>gustavo cote</cp:lastModifiedBy>
  <cp:revision>1</cp:revision>
  <dcterms:created xsi:type="dcterms:W3CDTF">2025-08-20T16:26:00Z</dcterms:created>
  <dcterms:modified xsi:type="dcterms:W3CDTF">2025-08-20T16:26:00Z</dcterms:modified>
</cp:coreProperties>
</file>