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35C7B"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b/>
          <w:bCs/>
          <w:color w:val="000000"/>
          <w:kern w:val="0"/>
          <w:lang w:val="es-CO" w:eastAsia="es-MX"/>
          <w14:ligatures w14:val="none"/>
        </w:rPr>
        <w:t>CONCEPTO 936 DEL 24 DE JUNIO DE 2025</w:t>
      </w:r>
    </w:p>
    <w:p w14:paraId="3D9FC3BC"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b/>
          <w:bCs/>
          <w:color w:val="000000"/>
          <w:kern w:val="0"/>
          <w:lang w:val="es-CO" w:eastAsia="es-MX"/>
          <w14:ligatures w14:val="none"/>
        </w:rPr>
        <w:t>DIRECCIÓN DE IMPUESTOS Y ADUANAS NACIONALES</w:t>
      </w:r>
    </w:p>
    <w:p w14:paraId="3524D019"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60502FE3"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Bogotá, D.C., 24 de junio de 2025</w:t>
      </w:r>
    </w:p>
    <w:p w14:paraId="7F4A0B60"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56A36200" w14:textId="77777777" w:rsidR="003E1243" w:rsidRPr="003E1243" w:rsidRDefault="003E1243" w:rsidP="003E1243">
      <w:pPr>
        <w:ind w:hanging="2410"/>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Tema:</w:t>
      </w:r>
      <w:r w:rsidRPr="003E1243">
        <w:rPr>
          <w:rFonts w:ascii="Verdana" w:eastAsia="Times New Roman" w:hAnsi="Verdana" w:cs="Times New Roman"/>
          <w:color w:val="000000"/>
          <w:kern w:val="0"/>
          <w:lang w:val="es-CO" w:eastAsia="es-MX"/>
          <w14:ligatures w14:val="none"/>
        </w:rPr>
        <w:tab/>
        <w:t>Procedimiento Tributario</w:t>
      </w:r>
    </w:p>
    <w:p w14:paraId="54F38B11"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Descriptores:</w:t>
      </w:r>
      <w:r w:rsidRPr="003E1243">
        <w:rPr>
          <w:rFonts w:ascii="Verdana" w:eastAsia="Times New Roman" w:hAnsi="Verdana" w:cs="Times New Roman"/>
          <w:color w:val="000000"/>
          <w:kern w:val="0"/>
          <w:lang w:val="es-CO" w:eastAsia="es-MX"/>
          <w14:ligatures w14:val="none"/>
        </w:rPr>
        <w:tab/>
        <w:t>Sanción por omitir ingresos o servir de instrumentos para evasión Representación sociedades que sirvan como instrumento de evasión Término de prescripción de la facultad sancionatoria</w:t>
      </w:r>
    </w:p>
    <w:p w14:paraId="1E2AE8B0"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Fuentes formales:</w:t>
      </w:r>
      <w:r w:rsidRPr="003E1243">
        <w:rPr>
          <w:rFonts w:ascii="Verdana" w:eastAsia="Times New Roman" w:hAnsi="Verdana" w:cs="Times New Roman"/>
          <w:color w:val="000000"/>
          <w:kern w:val="0"/>
          <w:lang w:val="es-CO" w:eastAsia="es-MX"/>
          <w14:ligatures w14:val="none"/>
        </w:rPr>
        <w:tab/>
        <w:t>Artículo 637, 638 y 669 del Estatuto Tributario</w:t>
      </w:r>
    </w:p>
    <w:p w14:paraId="6F2D75C9" w14:textId="77777777" w:rsidR="003E1243" w:rsidRPr="003E1243" w:rsidRDefault="003E1243" w:rsidP="003E1243">
      <w:pPr>
        <w:ind w:left="2410"/>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Sentencia de la Corte Constitucional C-569/04 Sentencia de la Corte Constitucional C-499 de 1998</w:t>
      </w:r>
    </w:p>
    <w:p w14:paraId="3E0C95A8" w14:textId="77777777" w:rsidR="003E1243" w:rsidRPr="003E1243" w:rsidRDefault="003E1243" w:rsidP="003E1243">
      <w:pPr>
        <w:ind w:left="2410"/>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Sentencia del Consejo de Estado, Sección Tercera Rad. No. 05001-23-31- 000-2011-00462-01(44544).</w:t>
      </w:r>
    </w:p>
    <w:p w14:paraId="03D62E9E" w14:textId="77777777" w:rsidR="003E1243" w:rsidRPr="003E1243" w:rsidRDefault="003E1243" w:rsidP="003E1243">
      <w:pPr>
        <w:ind w:left="2410"/>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Sentencia de Unificación, Consejo de Estado Rad. No. 2019 CE-SUJ-4-010 (22185)</w:t>
      </w:r>
    </w:p>
    <w:p w14:paraId="4AC71C0B"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538BB81F"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Cordial saludo</w:t>
      </w:r>
    </w:p>
    <w:p w14:paraId="32236D35"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14214BF8" w14:textId="77777777" w:rsidR="003E1243" w:rsidRPr="003E1243" w:rsidRDefault="003E1243" w:rsidP="003E1243">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3E1243">
        <w:rPr>
          <w:rFonts w:ascii="Verdana" w:eastAsia="Times New Roman" w:hAnsi="Verdana" w:cs="Times New Roman"/>
          <w:color w:val="000000"/>
          <w:kern w:val="0"/>
          <w:sz w:val="14"/>
          <w:szCs w:val="14"/>
          <w:vertAlign w:val="superscript"/>
          <w:lang w:val="es-CO" w:eastAsia="es-MX"/>
          <w14:ligatures w14:val="none"/>
        </w:rPr>
        <w:t>1</w:t>
      </w:r>
      <w:r w:rsidRPr="003E1243">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3E1243">
        <w:rPr>
          <w:rFonts w:ascii="Verdana" w:eastAsia="Times New Roman" w:hAnsi="Verdana" w:cs="Times New Roman"/>
          <w:color w:val="000000"/>
          <w:kern w:val="0"/>
          <w:sz w:val="14"/>
          <w:szCs w:val="14"/>
          <w:vertAlign w:val="superscript"/>
          <w:lang w:val="es-CO" w:eastAsia="es-MX"/>
          <w14:ligatures w14:val="none"/>
        </w:rPr>
        <w:t>2</w:t>
      </w:r>
      <w:r w:rsidRPr="003E1243">
        <w:rPr>
          <w:rFonts w:ascii="Verdana" w:eastAsia="Times New Roman" w:hAnsi="Verdana" w:cs="Times New Roman"/>
          <w:color w:val="000000"/>
          <w:kern w:val="0"/>
          <w:lang w:val="es-CO" w:eastAsia="es-MX"/>
          <w14:ligatures w14:val="none"/>
        </w:rPr>
        <w:t>.</w:t>
      </w:r>
    </w:p>
    <w:p w14:paraId="5C6C2808"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3C48AAED" w14:textId="77777777" w:rsidR="003E1243" w:rsidRPr="003E1243" w:rsidRDefault="003E1243" w:rsidP="003E1243">
      <w:pPr>
        <w:jc w:val="both"/>
        <w:outlineLvl w:val="0"/>
        <w:rPr>
          <w:rFonts w:ascii="Times New Roman" w:eastAsia="Times New Roman" w:hAnsi="Times New Roman" w:cs="Times New Roman"/>
          <w:b/>
          <w:bCs/>
          <w:kern w:val="36"/>
          <w:sz w:val="48"/>
          <w:szCs w:val="48"/>
          <w:lang w:val="es-CO" w:eastAsia="es-MX"/>
          <w14:ligatures w14:val="none"/>
        </w:rPr>
      </w:pPr>
      <w:r w:rsidRPr="003E1243">
        <w:rPr>
          <w:rFonts w:ascii="Verdana" w:eastAsia="Times New Roman" w:hAnsi="Verdana" w:cs="Times New Roman"/>
          <w:b/>
          <w:bCs/>
          <w:color w:val="000000"/>
          <w:kern w:val="36"/>
          <w:lang w:val="es-CO" w:eastAsia="es-MX"/>
          <w14:ligatures w14:val="none"/>
        </w:rPr>
        <w:t>PROBLEMA JURÍDICO No. 1:</w:t>
      </w:r>
    </w:p>
    <w:p w14:paraId="4AD20EC7"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778DC979" w14:textId="77777777" w:rsidR="003E1243" w:rsidRPr="003E1243" w:rsidRDefault="003E1243" w:rsidP="003E1243">
      <w:pPr>
        <w:numPr>
          <w:ilvl w:val="0"/>
          <w:numId w:val="2"/>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Para que proceda la imposición de la sanción por omitir ingresos o servir de instrumento de evasión, prevista en el artículo 669 del Estatuto Tributario (E.T.), ¿El representante legal de una sociedad que sirvió como instrumento de evasión tributaria debe ostentar la calidad de responsable del impuesto sobre las ventas a la que alude el artículo antes mencionado?</w:t>
      </w:r>
    </w:p>
    <w:p w14:paraId="1577175A"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14C79CDB" w14:textId="77777777" w:rsidR="003E1243" w:rsidRPr="003E1243" w:rsidRDefault="003E1243" w:rsidP="003E1243">
      <w:pPr>
        <w:jc w:val="both"/>
        <w:outlineLvl w:val="0"/>
        <w:rPr>
          <w:rFonts w:ascii="Times New Roman" w:eastAsia="Times New Roman" w:hAnsi="Times New Roman" w:cs="Times New Roman"/>
          <w:b/>
          <w:bCs/>
          <w:kern w:val="36"/>
          <w:sz w:val="48"/>
          <w:szCs w:val="48"/>
          <w:lang w:val="es-CO" w:eastAsia="es-MX"/>
          <w14:ligatures w14:val="none"/>
        </w:rPr>
      </w:pPr>
      <w:r w:rsidRPr="003E1243">
        <w:rPr>
          <w:rFonts w:ascii="Verdana" w:eastAsia="Times New Roman" w:hAnsi="Verdana" w:cs="Times New Roman"/>
          <w:b/>
          <w:bCs/>
          <w:color w:val="000000"/>
          <w:kern w:val="36"/>
          <w:lang w:val="es-CO" w:eastAsia="es-MX"/>
          <w14:ligatures w14:val="none"/>
        </w:rPr>
        <w:t>TESIS JURÍDICA No. 1:</w:t>
      </w:r>
    </w:p>
    <w:p w14:paraId="48D94A23"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52FDEC9E" w14:textId="77777777" w:rsidR="003E1243" w:rsidRPr="003E1243" w:rsidRDefault="003E1243" w:rsidP="003E1243">
      <w:pPr>
        <w:numPr>
          <w:ilvl w:val="0"/>
          <w:numId w:val="3"/>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No. En virtud del principio del efecto útil de las normas, para que proceda la imposición de la sanción prevista en el artículo 669 del E.T. no se requiere que el representante legal de una sociedad -que sirvió como instrumento de evasión tributaria- ostente la calidad de responsable del impuesto sobre las ventas a la que alude el artículo 669 del E.T.</w:t>
      </w:r>
    </w:p>
    <w:p w14:paraId="726B434F"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18022CB5" w14:textId="77777777" w:rsidR="003E1243" w:rsidRPr="003E1243" w:rsidRDefault="003E1243" w:rsidP="003E1243">
      <w:pPr>
        <w:jc w:val="both"/>
        <w:outlineLvl w:val="0"/>
        <w:rPr>
          <w:rFonts w:ascii="Times New Roman" w:eastAsia="Times New Roman" w:hAnsi="Times New Roman" w:cs="Times New Roman"/>
          <w:b/>
          <w:bCs/>
          <w:kern w:val="36"/>
          <w:sz w:val="48"/>
          <w:szCs w:val="48"/>
          <w:lang w:val="es-CO" w:eastAsia="es-MX"/>
          <w14:ligatures w14:val="none"/>
        </w:rPr>
      </w:pPr>
      <w:r w:rsidRPr="003E1243">
        <w:rPr>
          <w:rFonts w:ascii="Verdana" w:eastAsia="Times New Roman" w:hAnsi="Verdana" w:cs="Times New Roman"/>
          <w:b/>
          <w:bCs/>
          <w:color w:val="000000"/>
          <w:kern w:val="36"/>
          <w:lang w:val="es-CO" w:eastAsia="es-MX"/>
          <w14:ligatures w14:val="none"/>
        </w:rPr>
        <w:lastRenderedPageBreak/>
        <w:t>FUNDAMENTACIÓN No. 1:</w:t>
      </w:r>
    </w:p>
    <w:p w14:paraId="2679CABC"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296363DE" w14:textId="77777777" w:rsidR="003E1243" w:rsidRPr="003E1243" w:rsidRDefault="003E1243" w:rsidP="003E1243">
      <w:pPr>
        <w:numPr>
          <w:ilvl w:val="0"/>
          <w:numId w:val="4"/>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El artículo 669 del E.T.</w:t>
      </w:r>
      <w:r w:rsidRPr="003E1243">
        <w:rPr>
          <w:rFonts w:ascii="Verdana" w:eastAsia="Times New Roman" w:hAnsi="Verdana" w:cs="Times New Roman"/>
          <w:color w:val="000000"/>
          <w:kern w:val="0"/>
          <w:sz w:val="14"/>
          <w:szCs w:val="14"/>
          <w:vertAlign w:val="superscript"/>
          <w:lang w:val="es-CO" w:eastAsia="es-MX"/>
          <w14:ligatures w14:val="none"/>
        </w:rPr>
        <w:t>3</w:t>
      </w:r>
      <w:r w:rsidRPr="003E1243">
        <w:rPr>
          <w:rFonts w:ascii="Verdana" w:eastAsia="Times New Roman" w:hAnsi="Verdana" w:cs="Times New Roman"/>
          <w:color w:val="000000"/>
          <w:kern w:val="0"/>
          <w:lang w:val="es-CO" w:eastAsia="es-MX"/>
          <w14:ligatures w14:val="none"/>
        </w:rPr>
        <w:t xml:space="preserve"> inicia haciendo referencia a la calidad de responsable del impuesto sobre las ventas (IVA) para luego determinar las tres (3) conductas sancionables, así: i) realización de operaciones ficticias; </w:t>
      </w:r>
      <w:proofErr w:type="spellStart"/>
      <w:r w:rsidRPr="003E1243">
        <w:rPr>
          <w:rFonts w:ascii="Verdana" w:eastAsia="Times New Roman" w:hAnsi="Verdana" w:cs="Times New Roman"/>
          <w:color w:val="000000"/>
          <w:kern w:val="0"/>
          <w:lang w:val="es-CO" w:eastAsia="es-MX"/>
          <w14:ligatures w14:val="none"/>
        </w:rPr>
        <w:t>ii</w:t>
      </w:r>
      <w:proofErr w:type="spellEnd"/>
      <w:r w:rsidRPr="003E1243">
        <w:rPr>
          <w:rFonts w:ascii="Verdana" w:eastAsia="Times New Roman" w:hAnsi="Verdana" w:cs="Times New Roman"/>
          <w:color w:val="000000"/>
          <w:kern w:val="0"/>
          <w:lang w:val="es-CO" w:eastAsia="es-MX"/>
          <w14:ligatures w14:val="none"/>
        </w:rPr>
        <w:t xml:space="preserve">) omisión de ingresos; y </w:t>
      </w:r>
      <w:proofErr w:type="spellStart"/>
      <w:r w:rsidRPr="003E1243">
        <w:rPr>
          <w:rFonts w:ascii="Verdana" w:eastAsia="Times New Roman" w:hAnsi="Verdana" w:cs="Times New Roman"/>
          <w:color w:val="000000"/>
          <w:kern w:val="0"/>
          <w:lang w:val="es-CO" w:eastAsia="es-MX"/>
          <w14:ligatures w14:val="none"/>
        </w:rPr>
        <w:t>iii</w:t>
      </w:r>
      <w:proofErr w:type="spellEnd"/>
      <w:r w:rsidRPr="003E1243">
        <w:rPr>
          <w:rFonts w:ascii="Verdana" w:eastAsia="Times New Roman" w:hAnsi="Verdana" w:cs="Times New Roman"/>
          <w:color w:val="000000"/>
          <w:kern w:val="0"/>
          <w:lang w:val="es-CO" w:eastAsia="es-MX"/>
          <w14:ligatures w14:val="none"/>
        </w:rPr>
        <w:t>) representación de sociedades que sirvan como instrumentos de evasión.</w:t>
      </w:r>
    </w:p>
    <w:p w14:paraId="64FAFFC2"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0C329397" w14:textId="77777777" w:rsidR="003E1243" w:rsidRPr="003E1243" w:rsidRDefault="003E1243" w:rsidP="003E1243">
      <w:pPr>
        <w:numPr>
          <w:ilvl w:val="0"/>
          <w:numId w:val="5"/>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Las conductas tipificadas como hechos sancionables son disimiles y su realización se predica de sujetos diferentes. En efecto, resulta claro que, a diferencia de las dos primeras conductas, en el caso de la representación de sociedades como instrumentos de evasión, quien podría incurrir en esta conducta es el sujeto que ostenta la calidad de representante legal de la sociedad.</w:t>
      </w:r>
    </w:p>
    <w:p w14:paraId="0B54C0BB"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4D72743D" w14:textId="77777777" w:rsidR="003E1243" w:rsidRPr="003E1243" w:rsidRDefault="003E1243" w:rsidP="003E1243">
      <w:pPr>
        <w:numPr>
          <w:ilvl w:val="0"/>
          <w:numId w:val="6"/>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Así, en principio, podría pensarse que la calidad de responsable de IVA se predica respecto de todas las conductas sancionables descritas en la norma y los sujetos que pueden incurrir en ellas. Por ejemplo, cuando se trata de la realización de operaciones ficticias y la omisión de ingresos es claro que el sujeto sancionable debe tener la calidad de responsable de IVA; sin embargo, no hay tal claridad cuando se trata de la infracción de representación de sociedades como instrumentos de evasión, dado que no resulta claro si la condición que indica la norma se predica del contribuyente o de su representante legal.</w:t>
      </w:r>
    </w:p>
    <w:p w14:paraId="3AE22BBE"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11B4DADD" w14:textId="77777777" w:rsidR="003E1243" w:rsidRPr="003E1243" w:rsidRDefault="003E1243" w:rsidP="003E1243">
      <w:pPr>
        <w:numPr>
          <w:ilvl w:val="0"/>
          <w:numId w:val="7"/>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Para resolver lo anterior, es preciso acudir a los criterios hermenéuticos de interpretación de normas aceptados por la jurisprudencia constitucional como el “principio del efecto útil de las normas” según el cual debe considerarse, de entre varias interpretaciones de una disposición normativa, aquella que permita consecuencias jurídicas sobre la que no las prevea, o sobre la que prevea consecuencias superfluas o innecesarias</w:t>
      </w:r>
      <w:r w:rsidRPr="003E1243">
        <w:rPr>
          <w:rFonts w:ascii="Verdana" w:eastAsia="Times New Roman" w:hAnsi="Verdana" w:cs="Times New Roman"/>
          <w:color w:val="000000"/>
          <w:kern w:val="0"/>
          <w:sz w:val="14"/>
          <w:szCs w:val="14"/>
          <w:vertAlign w:val="superscript"/>
          <w:lang w:val="es-CO" w:eastAsia="es-MX"/>
          <w14:ligatures w14:val="none"/>
        </w:rPr>
        <w:t>4</w:t>
      </w:r>
      <w:r w:rsidRPr="003E1243">
        <w:rPr>
          <w:rFonts w:ascii="Verdana" w:eastAsia="Times New Roman" w:hAnsi="Verdana" w:cs="Times New Roman"/>
          <w:color w:val="000000"/>
          <w:kern w:val="0"/>
          <w:lang w:val="es-CO" w:eastAsia="es-MX"/>
          <w14:ligatures w14:val="none"/>
        </w:rPr>
        <w:t>.</w:t>
      </w:r>
    </w:p>
    <w:p w14:paraId="623D04A9"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59E89FF5" w14:textId="77777777" w:rsidR="003E1243" w:rsidRPr="003E1243" w:rsidRDefault="003E1243" w:rsidP="003E1243">
      <w:pPr>
        <w:numPr>
          <w:ilvl w:val="0"/>
          <w:numId w:val="8"/>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En relación con el principio del efecto útil de las normas, la Corte Constitucional en la Sentencia C-499 de 1998, señaló:</w:t>
      </w:r>
    </w:p>
    <w:p w14:paraId="4C4D6EAB"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519B68D7" w14:textId="77777777" w:rsidR="003E1243" w:rsidRPr="003E1243" w:rsidRDefault="003E1243" w:rsidP="003E1243">
      <w:pPr>
        <w:ind w:left="567"/>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i/>
          <w:iCs/>
          <w:color w:val="000000"/>
          <w:kern w:val="0"/>
          <w:lang w:val="es-CO" w:eastAsia="es-MX"/>
          <w14:ligatures w14:val="none"/>
        </w:rPr>
        <w:t xml:space="preserve">“Si la interpretación conforme a la Constitución de una determinada norma le resta a esta última todo efecto jurídico, lo que en realidad debería proceder es una declaratoria de </w:t>
      </w:r>
      <w:proofErr w:type="spellStart"/>
      <w:r w:rsidRPr="003E1243">
        <w:rPr>
          <w:rFonts w:ascii="Verdana" w:eastAsia="Times New Roman" w:hAnsi="Verdana" w:cs="Times New Roman"/>
          <w:i/>
          <w:iCs/>
          <w:color w:val="000000"/>
          <w:kern w:val="0"/>
          <w:lang w:val="es-CO" w:eastAsia="es-MX"/>
          <w14:ligatures w14:val="none"/>
        </w:rPr>
        <w:t>inexequibilidad</w:t>
      </w:r>
      <w:proofErr w:type="spellEnd"/>
      <w:r w:rsidRPr="003E1243">
        <w:rPr>
          <w:rFonts w:ascii="Verdana" w:eastAsia="Times New Roman" w:hAnsi="Verdana" w:cs="Times New Roman"/>
          <w:i/>
          <w:iCs/>
          <w:color w:val="000000"/>
          <w:kern w:val="0"/>
          <w:lang w:val="es-CO" w:eastAsia="es-MX"/>
          <w14:ligatures w14:val="none"/>
        </w:rPr>
        <w:t xml:space="preserve"> pura y simple. Ciertamente, en un evento como el mencionado, las dos </w:t>
      </w:r>
      <w:r w:rsidRPr="003E1243">
        <w:rPr>
          <w:rFonts w:ascii="Verdana" w:eastAsia="Times New Roman" w:hAnsi="Verdana" w:cs="Times New Roman"/>
          <w:i/>
          <w:iCs/>
          <w:color w:val="000000"/>
          <w:kern w:val="0"/>
          <w:lang w:val="es-CO" w:eastAsia="es-MX"/>
          <w14:ligatures w14:val="none"/>
        </w:rPr>
        <w:lastRenderedPageBreak/>
        <w:t xml:space="preserve">decisiones - de </w:t>
      </w:r>
      <w:proofErr w:type="spellStart"/>
      <w:r w:rsidRPr="003E1243">
        <w:rPr>
          <w:rFonts w:ascii="Verdana" w:eastAsia="Times New Roman" w:hAnsi="Verdana" w:cs="Times New Roman"/>
          <w:i/>
          <w:iCs/>
          <w:color w:val="000000"/>
          <w:kern w:val="0"/>
          <w:lang w:val="es-CO" w:eastAsia="es-MX"/>
          <w14:ligatures w14:val="none"/>
        </w:rPr>
        <w:t>exequibilidad</w:t>
      </w:r>
      <w:proofErr w:type="spellEnd"/>
      <w:r w:rsidRPr="003E1243">
        <w:rPr>
          <w:rFonts w:ascii="Verdana" w:eastAsia="Times New Roman" w:hAnsi="Verdana" w:cs="Times New Roman"/>
          <w:i/>
          <w:iCs/>
          <w:color w:val="000000"/>
          <w:kern w:val="0"/>
          <w:lang w:val="es-CO" w:eastAsia="es-MX"/>
          <w14:ligatures w14:val="none"/>
        </w:rPr>
        <w:t xml:space="preserve"> condicionada y de </w:t>
      </w:r>
      <w:proofErr w:type="spellStart"/>
      <w:r w:rsidRPr="003E1243">
        <w:rPr>
          <w:rFonts w:ascii="Verdana" w:eastAsia="Times New Roman" w:hAnsi="Verdana" w:cs="Times New Roman"/>
          <w:i/>
          <w:iCs/>
          <w:color w:val="000000"/>
          <w:kern w:val="0"/>
          <w:lang w:val="es-CO" w:eastAsia="es-MX"/>
          <w14:ligatures w14:val="none"/>
        </w:rPr>
        <w:t>inexequibilidad</w:t>
      </w:r>
      <w:proofErr w:type="spellEnd"/>
      <w:r w:rsidRPr="003E1243">
        <w:rPr>
          <w:rFonts w:ascii="Verdana" w:eastAsia="Times New Roman" w:hAnsi="Verdana" w:cs="Times New Roman"/>
          <w:i/>
          <w:iCs/>
          <w:color w:val="000000"/>
          <w:kern w:val="0"/>
          <w:lang w:val="es-CO" w:eastAsia="es-MX"/>
          <w14:ligatures w14:val="none"/>
        </w:rPr>
        <w:t xml:space="preserve"> - serían, en la práctica, equivalentes, siendo la última mucho más acorde con los principios de eficacia del derecho y de seguridad jurídica. </w:t>
      </w:r>
      <w:r w:rsidRPr="003E1243">
        <w:rPr>
          <w:rFonts w:ascii="Verdana" w:eastAsia="Times New Roman" w:hAnsi="Verdana" w:cs="Times New Roman"/>
          <w:i/>
          <w:iCs/>
          <w:color w:val="000000"/>
          <w:kern w:val="0"/>
          <w:u w:val="single"/>
          <w:lang w:val="es-CO" w:eastAsia="es-MX"/>
          <w14:ligatures w14:val="none"/>
        </w:rPr>
        <w:t>Resulta contrario a los principios mencionados, mantener en el ordenamiento una disposición que carece de toda eficacia jurídica, pues se contradice el principio del efecto útil de las normas generando, al mismo tiempo, una circunstancia que puede originar grave confusión e incertidumbre</w:t>
      </w:r>
      <w:r w:rsidRPr="003E1243">
        <w:rPr>
          <w:rFonts w:ascii="Verdana" w:eastAsia="Times New Roman" w:hAnsi="Verdana" w:cs="Times New Roman"/>
          <w:i/>
          <w:iCs/>
          <w:color w:val="000000"/>
          <w:kern w:val="0"/>
          <w:lang w:val="es-CO" w:eastAsia="es-MX"/>
          <w14:ligatures w14:val="none"/>
        </w:rPr>
        <w:t xml:space="preserve">.” </w:t>
      </w:r>
      <w:r w:rsidRPr="003E1243">
        <w:rPr>
          <w:rFonts w:ascii="Verdana" w:eastAsia="Times New Roman" w:hAnsi="Verdana" w:cs="Times New Roman"/>
          <w:color w:val="000000"/>
          <w:kern w:val="0"/>
          <w:lang w:val="es-CO" w:eastAsia="es-MX"/>
          <w14:ligatures w14:val="none"/>
        </w:rPr>
        <w:t>(subraya fuera del texto original).</w:t>
      </w:r>
    </w:p>
    <w:p w14:paraId="5211EE53"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14F0C76A" w14:textId="77777777" w:rsidR="003E1243" w:rsidRPr="003E1243" w:rsidRDefault="003E1243" w:rsidP="003E1243">
      <w:pPr>
        <w:numPr>
          <w:ilvl w:val="0"/>
          <w:numId w:val="9"/>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En virtud del principio del efecto útil, según se ha visto, el texto de una norma debe ser interpretado de manera que todo cuanto ella prescribe produzca consecuencias jurídicas</w:t>
      </w:r>
      <w:r w:rsidRPr="003E1243">
        <w:rPr>
          <w:rFonts w:ascii="Verdana" w:eastAsia="Times New Roman" w:hAnsi="Verdana" w:cs="Times New Roman"/>
          <w:color w:val="000000"/>
          <w:kern w:val="0"/>
          <w:sz w:val="14"/>
          <w:szCs w:val="14"/>
          <w:vertAlign w:val="superscript"/>
          <w:lang w:val="es-CO" w:eastAsia="es-MX"/>
          <w14:ligatures w14:val="none"/>
        </w:rPr>
        <w:t>5</w:t>
      </w:r>
      <w:r w:rsidRPr="003E1243">
        <w:rPr>
          <w:rFonts w:ascii="Verdana" w:eastAsia="Times New Roman" w:hAnsi="Verdana" w:cs="Times New Roman"/>
          <w:b/>
          <w:bCs/>
          <w:color w:val="000000"/>
          <w:kern w:val="0"/>
          <w:lang w:val="es-CO" w:eastAsia="es-MX"/>
          <w14:ligatures w14:val="none"/>
        </w:rPr>
        <w:t xml:space="preserve">. </w:t>
      </w:r>
      <w:r w:rsidRPr="003E1243">
        <w:rPr>
          <w:rFonts w:ascii="Verdana" w:eastAsia="Times New Roman" w:hAnsi="Verdana" w:cs="Times New Roman"/>
          <w:color w:val="000000"/>
          <w:kern w:val="0"/>
          <w:lang w:val="es-CO" w:eastAsia="es-MX"/>
          <w14:ligatures w14:val="none"/>
        </w:rPr>
        <w:t>A su vez, el principio mencionado tiene por finalidad, además de garantizar la interpretación conforme a la Constitución, evitar confusión e incertidumbre entre los operadores jurídicos.</w:t>
      </w:r>
      <w:r w:rsidRPr="003E1243">
        <w:rPr>
          <w:rFonts w:ascii="Verdana" w:eastAsia="Times New Roman" w:hAnsi="Verdana" w:cs="Times New Roman"/>
          <w:color w:val="000000"/>
          <w:kern w:val="0"/>
          <w:sz w:val="14"/>
          <w:szCs w:val="14"/>
          <w:vertAlign w:val="superscript"/>
          <w:lang w:val="es-CO" w:eastAsia="es-MX"/>
          <w14:ligatures w14:val="none"/>
        </w:rPr>
        <w:t>6</w:t>
      </w:r>
    </w:p>
    <w:p w14:paraId="741ED824"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5E56C47A" w14:textId="77777777" w:rsidR="003E1243" w:rsidRPr="003E1243" w:rsidRDefault="003E1243" w:rsidP="003E1243">
      <w:pPr>
        <w:numPr>
          <w:ilvl w:val="0"/>
          <w:numId w:val="10"/>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Así las cosas, en aplicación de este principio y atendiendo la finalidad de la norma que no es otra que sancionar, no sólo a los contribuyentes que realicen operaciones ficticias o que omitan ingresos, sino a los representantes legales de sociedades que sirvan como instrumento de evasión tributaria, es necesario preferir la interpretación del artículo 669 E.T. que permita hacer efectiva la sanción a los representantes legales y evitar que la condición de responsables de IVA a la que se refiere la disposición sirva para eludir la responsabilidad que estos deberían asumir por representar a sociedades como las mencionadas.</w:t>
      </w:r>
    </w:p>
    <w:p w14:paraId="41BC6FA3"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75138898" w14:textId="77777777" w:rsidR="003E1243" w:rsidRPr="003E1243" w:rsidRDefault="003E1243" w:rsidP="003E1243">
      <w:pPr>
        <w:numPr>
          <w:ilvl w:val="0"/>
          <w:numId w:val="11"/>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En consecuencia, para que proceda la imposición de la sanción señalada en la referida norma, no se requiere que el representante legal de una sociedad -que sirvió como instrumento de evasión tributaria- ostente la calidad de responsable del impuesto sobre las ventas a la que alude el artículo 669 del E.T. Interpretar lo contrario, es decir, que el representante legal de la sociedad que sirvió como instrumento de evasión solamente pueda ser sancionado si tiene la calidad de responsable del Impuesto sobre las ventas, haría nugatoria la aplicación de la sanción allí regulada.</w:t>
      </w:r>
    </w:p>
    <w:p w14:paraId="096C1AE5"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1350776B" w14:textId="77777777" w:rsidR="003E1243" w:rsidRPr="003E1243" w:rsidRDefault="003E1243" w:rsidP="003E1243">
      <w:pPr>
        <w:numPr>
          <w:ilvl w:val="0"/>
          <w:numId w:val="12"/>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 xml:space="preserve">En consonancia con lo anterior, se observa que el inicio del proceso administrativo sancionatorio en contra del representante presupone la existencia de un pronunciamiento anterior por parte de la DIAN, en el cual se determine que la sociedad que representa sirvió de instrumento de </w:t>
      </w:r>
      <w:r w:rsidRPr="003E1243">
        <w:rPr>
          <w:rFonts w:ascii="Verdana" w:eastAsia="Times New Roman" w:hAnsi="Verdana" w:cs="Times New Roman"/>
          <w:color w:val="000000"/>
          <w:kern w:val="0"/>
          <w:lang w:val="es-CO" w:eastAsia="es-MX"/>
          <w14:ligatures w14:val="none"/>
        </w:rPr>
        <w:lastRenderedPageBreak/>
        <w:t>evasión, como por ejemplo dedicarse a la venta de facturas ficticias a favor de terceros que sirven para acreditar compras e impuestos descontables en sus declaraciones de IVA, así como costos y gastos en las declaraciones de impuesto sobre la renta, respectivamente.</w:t>
      </w:r>
    </w:p>
    <w:p w14:paraId="11020E81"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16F31B0C" w14:textId="77777777" w:rsidR="003E1243" w:rsidRPr="003E1243" w:rsidRDefault="003E1243" w:rsidP="003E1243">
      <w:pPr>
        <w:numPr>
          <w:ilvl w:val="0"/>
          <w:numId w:val="13"/>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En este sentido, a efectos de garantizar la aplicación de la norma y su efecto útil, debe entenderse que si bien el representante es el responsable de cumplir con los deberes formales de la sociedad, es la sociedad quien sirve de instrumento de evasión y, por ende, la condición de responsable de IVA debe predicarse de la sociedad que representa y no del representante legal pues, de lo contrario, haría nugatoria la sanción contemplada en el artículo 669 del E.T.</w:t>
      </w:r>
    </w:p>
    <w:p w14:paraId="076146F9"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39EC66FE" w14:textId="77777777" w:rsidR="003E1243" w:rsidRPr="003E1243" w:rsidRDefault="003E1243" w:rsidP="003E1243">
      <w:pPr>
        <w:numPr>
          <w:ilvl w:val="0"/>
          <w:numId w:val="14"/>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En este orden de ideas, se concluye que es el contribuyente (sociedad) que sirvió como instrumento de evasión es el que debe acreditar la calidad de responsable de IVA, teniendo en cuenta que la sanción al representante, establecida en el artículo 669 del E.T., es consecuencia de la comisión de una infracción por parte este.</w:t>
      </w:r>
    </w:p>
    <w:p w14:paraId="3D380261"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28C0107E" w14:textId="77777777" w:rsidR="003E1243" w:rsidRPr="003E1243" w:rsidRDefault="003E1243" w:rsidP="003E1243">
      <w:pPr>
        <w:jc w:val="both"/>
        <w:outlineLvl w:val="0"/>
        <w:rPr>
          <w:rFonts w:ascii="Times New Roman" w:eastAsia="Times New Roman" w:hAnsi="Times New Roman" w:cs="Times New Roman"/>
          <w:b/>
          <w:bCs/>
          <w:kern w:val="36"/>
          <w:sz w:val="48"/>
          <w:szCs w:val="48"/>
          <w:lang w:val="es-CO" w:eastAsia="es-MX"/>
          <w14:ligatures w14:val="none"/>
        </w:rPr>
      </w:pPr>
      <w:r w:rsidRPr="003E1243">
        <w:rPr>
          <w:rFonts w:ascii="Verdana" w:eastAsia="Times New Roman" w:hAnsi="Verdana" w:cs="Times New Roman"/>
          <w:b/>
          <w:bCs/>
          <w:color w:val="000000"/>
          <w:kern w:val="36"/>
          <w:lang w:val="es-CO" w:eastAsia="es-MX"/>
          <w14:ligatures w14:val="none"/>
        </w:rPr>
        <w:t>PROBLEMA JURÍDICO No. 2:</w:t>
      </w:r>
    </w:p>
    <w:p w14:paraId="6B456FA9"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61D9A7F2" w14:textId="77777777" w:rsidR="003E1243" w:rsidRPr="003E1243" w:rsidRDefault="003E1243" w:rsidP="003E1243">
      <w:pPr>
        <w:numPr>
          <w:ilvl w:val="0"/>
          <w:numId w:val="15"/>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A efectos de contabilizar el término de dos (2) años previsto en el artículo 638 del E.T., en el trámite de imposición de la sanción del artículo 669 del E.T. en contra del representante de una sociedad que sirvió como instrumento de evasión tributaria, ¿se debe tener en cuenta la declaración de renta y complementarios o de ingresos y patrimonio de la sociedad?</w:t>
      </w:r>
    </w:p>
    <w:p w14:paraId="760CCAFF"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63D4A1E7" w14:textId="77777777" w:rsidR="003E1243" w:rsidRPr="003E1243" w:rsidRDefault="003E1243" w:rsidP="003E1243">
      <w:pPr>
        <w:jc w:val="both"/>
        <w:outlineLvl w:val="0"/>
        <w:rPr>
          <w:rFonts w:ascii="Times New Roman" w:eastAsia="Times New Roman" w:hAnsi="Times New Roman" w:cs="Times New Roman"/>
          <w:b/>
          <w:bCs/>
          <w:kern w:val="36"/>
          <w:sz w:val="48"/>
          <w:szCs w:val="48"/>
          <w:lang w:val="es-CO" w:eastAsia="es-MX"/>
          <w14:ligatures w14:val="none"/>
        </w:rPr>
      </w:pPr>
      <w:r w:rsidRPr="003E1243">
        <w:rPr>
          <w:rFonts w:ascii="Verdana" w:eastAsia="Times New Roman" w:hAnsi="Verdana" w:cs="Times New Roman"/>
          <w:b/>
          <w:bCs/>
          <w:color w:val="000000"/>
          <w:kern w:val="36"/>
          <w:lang w:val="es-CO" w:eastAsia="es-MX"/>
          <w14:ligatures w14:val="none"/>
        </w:rPr>
        <w:t>TESIS JURÍDICA No. 2:</w:t>
      </w:r>
    </w:p>
    <w:p w14:paraId="6F541220"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07485575" w14:textId="77777777" w:rsidR="003E1243" w:rsidRPr="003E1243" w:rsidRDefault="003E1243" w:rsidP="003E1243">
      <w:pPr>
        <w:numPr>
          <w:ilvl w:val="0"/>
          <w:numId w:val="16"/>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Si. Cuando, mediante resolución independiente, se imponga la sanción establecida en el artículo 669 del E.T. al representante de una sociedad que sirvió de instrumento de evasión, debe tomarse en cuenta para la contabilización del término de prescripción del artículo 638 del E.T. la declaración de la sociedad que sirvió de instrumento de evasión, dado que de ella se deriva la irregularidad sancionable.</w:t>
      </w:r>
    </w:p>
    <w:p w14:paraId="7D031855"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7AC962DF" w14:textId="77777777" w:rsidR="003E1243" w:rsidRPr="003E1243" w:rsidRDefault="003E1243" w:rsidP="003E1243">
      <w:pPr>
        <w:jc w:val="both"/>
        <w:outlineLvl w:val="0"/>
        <w:rPr>
          <w:rFonts w:ascii="Times New Roman" w:eastAsia="Times New Roman" w:hAnsi="Times New Roman" w:cs="Times New Roman"/>
          <w:b/>
          <w:bCs/>
          <w:kern w:val="36"/>
          <w:sz w:val="48"/>
          <w:szCs w:val="48"/>
          <w:lang w:val="es-CO" w:eastAsia="es-MX"/>
          <w14:ligatures w14:val="none"/>
        </w:rPr>
      </w:pPr>
      <w:r w:rsidRPr="003E1243">
        <w:rPr>
          <w:rFonts w:ascii="Verdana" w:eastAsia="Times New Roman" w:hAnsi="Verdana" w:cs="Times New Roman"/>
          <w:b/>
          <w:bCs/>
          <w:color w:val="000000"/>
          <w:kern w:val="36"/>
          <w:lang w:val="es-CO" w:eastAsia="es-MX"/>
          <w14:ligatures w14:val="none"/>
        </w:rPr>
        <w:t>FUNDAMENTACIÓN No. 2:</w:t>
      </w:r>
    </w:p>
    <w:p w14:paraId="1AE2F7BB"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10467802" w14:textId="77777777" w:rsidR="003E1243" w:rsidRPr="003E1243" w:rsidRDefault="003E1243" w:rsidP="003E1243">
      <w:pPr>
        <w:numPr>
          <w:ilvl w:val="0"/>
          <w:numId w:val="17"/>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 xml:space="preserve">El artículo 637 del E.T. dispone dos vías procedimentales a efectos de imponer las sanciones tributarias, a saber: (i) mediante liquidación </w:t>
      </w:r>
      <w:r w:rsidRPr="003E1243">
        <w:rPr>
          <w:rFonts w:ascii="Verdana" w:eastAsia="Times New Roman" w:hAnsi="Verdana" w:cs="Times New Roman"/>
          <w:color w:val="000000"/>
          <w:kern w:val="0"/>
          <w:lang w:val="es-CO" w:eastAsia="es-MX"/>
          <w14:ligatures w14:val="none"/>
        </w:rPr>
        <w:lastRenderedPageBreak/>
        <w:t>oficial dentro del proceso administrativo que esté en curso; o (</w:t>
      </w:r>
      <w:proofErr w:type="spellStart"/>
      <w:r w:rsidRPr="003E1243">
        <w:rPr>
          <w:rFonts w:ascii="Verdana" w:eastAsia="Times New Roman" w:hAnsi="Verdana" w:cs="Times New Roman"/>
          <w:color w:val="000000"/>
          <w:kern w:val="0"/>
          <w:lang w:val="es-CO" w:eastAsia="es-MX"/>
          <w14:ligatures w14:val="none"/>
        </w:rPr>
        <w:t>ii</w:t>
      </w:r>
      <w:proofErr w:type="spellEnd"/>
      <w:r w:rsidRPr="003E1243">
        <w:rPr>
          <w:rFonts w:ascii="Verdana" w:eastAsia="Times New Roman" w:hAnsi="Verdana" w:cs="Times New Roman"/>
          <w:color w:val="000000"/>
          <w:kern w:val="0"/>
          <w:lang w:val="es-CO" w:eastAsia="es-MX"/>
          <w14:ligatures w14:val="none"/>
        </w:rPr>
        <w:t>) mediante resolución independiente.</w:t>
      </w:r>
    </w:p>
    <w:p w14:paraId="7A76AB9B"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35A25311" w14:textId="77777777" w:rsidR="003E1243" w:rsidRPr="003E1243" w:rsidRDefault="003E1243" w:rsidP="003E1243">
      <w:pPr>
        <w:numPr>
          <w:ilvl w:val="0"/>
          <w:numId w:val="18"/>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A su vez, el artículo 638 del E.T. establece el término de prescripción de la facultad sancionatoria cuando la sanción se imponga mediante resolución independiente. Dicha regla fue unificada por la Sección Cuarta del Consejo de Estado al señalar que el término para notificar el pliego de cargos comienza a correr desde el día en que se presentó la declaración del impuesto sobre la renta o de ingresos y patrimonio correspondiente al año gravable en el que se ocurrió la irregularidad sancionable.</w:t>
      </w:r>
      <w:r w:rsidRPr="003E1243">
        <w:rPr>
          <w:rFonts w:ascii="Verdana" w:eastAsia="Times New Roman" w:hAnsi="Verdana" w:cs="Times New Roman"/>
          <w:color w:val="000000"/>
          <w:kern w:val="0"/>
          <w:sz w:val="14"/>
          <w:szCs w:val="14"/>
          <w:vertAlign w:val="superscript"/>
          <w:lang w:val="es-CO" w:eastAsia="es-MX"/>
          <w14:ligatures w14:val="none"/>
        </w:rPr>
        <w:t>7</w:t>
      </w:r>
    </w:p>
    <w:p w14:paraId="2F599376"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1A7AD901" w14:textId="77777777" w:rsidR="003E1243" w:rsidRPr="003E1243" w:rsidRDefault="003E1243" w:rsidP="003E1243">
      <w:pPr>
        <w:numPr>
          <w:ilvl w:val="0"/>
          <w:numId w:val="19"/>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Ahora bien, en cuanto a la sanción establecida en el artículo 669 del E.T. correspondiente a representar sociedades que sirvan como instrumentos de evasión tributaria y a efectos de poder iniciar el proceso administrativo sancionatorio al representante, se debe contar con un acto administrativo donde se determine que la sociedad por él representada sirvió como instrumento de evasión. Lo anterior, toda vez que la sanción aquí establecida para el representante es consecuencia de la comisión de una infracción por parte de la sociedad.</w:t>
      </w:r>
    </w:p>
    <w:p w14:paraId="75E3CB9C"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3F070E1E" w14:textId="77777777" w:rsidR="003E1243" w:rsidRPr="003E1243" w:rsidRDefault="003E1243" w:rsidP="003E1243">
      <w:pPr>
        <w:numPr>
          <w:ilvl w:val="0"/>
          <w:numId w:val="20"/>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Así las cosas, haciendo una interpretación armónica de ambas disposiciones, cuando la sanción al representante se impone en resolución independiente, debe tomarse en cuenta para la contabilización del término de prescripción la declaración de renta de la sociedad que sirvió de instrumento de evasión, dado que de ella se deriva la irregularidad sancionable.</w:t>
      </w:r>
    </w:p>
    <w:p w14:paraId="0CB564B3" w14:textId="77777777" w:rsidR="003E1243" w:rsidRPr="003E1243" w:rsidRDefault="003E1243" w:rsidP="003E1243">
      <w:pPr>
        <w:rPr>
          <w:rFonts w:ascii="Times New Roman" w:eastAsia="Times New Roman" w:hAnsi="Times New Roman" w:cs="Times New Roman"/>
          <w:kern w:val="0"/>
          <w:lang w:val="es-CO" w:eastAsia="es-MX"/>
          <w14:ligatures w14:val="none"/>
        </w:rPr>
      </w:pPr>
      <w:r w:rsidRPr="003E1243">
        <w:rPr>
          <w:rFonts w:ascii="Times New Roman" w:eastAsia="Times New Roman" w:hAnsi="Times New Roman" w:cs="Times New Roman"/>
          <w:kern w:val="0"/>
          <w:lang w:val="es-CO" w:eastAsia="es-MX"/>
          <w14:ligatures w14:val="none"/>
        </w:rPr>
        <w:br/>
      </w:r>
    </w:p>
    <w:p w14:paraId="25E4EBAA" w14:textId="77777777" w:rsidR="003E1243" w:rsidRPr="003E1243" w:rsidRDefault="003E1243" w:rsidP="003E1243">
      <w:pPr>
        <w:numPr>
          <w:ilvl w:val="0"/>
          <w:numId w:val="21"/>
        </w:numPr>
        <w:jc w:val="both"/>
        <w:textAlignment w:val="baseline"/>
        <w:rPr>
          <w:rFonts w:ascii="Verdana" w:eastAsia="Times New Roman" w:hAnsi="Verdana" w:cs="Times New Roman"/>
          <w:color w:val="000000"/>
          <w:kern w:val="0"/>
          <w:lang w:val="es-CO" w:eastAsia="es-MX"/>
          <w14:ligatures w14:val="none"/>
        </w:rPr>
      </w:pPr>
      <w:r w:rsidRPr="003E1243">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3E1243">
          <w:rPr>
            <w:rFonts w:ascii="Verdana" w:eastAsia="Times New Roman" w:hAnsi="Verdana" w:cs="Times New Roman"/>
            <w:color w:val="000000"/>
            <w:kern w:val="0"/>
            <w:u w:val="single"/>
            <w:lang w:val="es-CO" w:eastAsia="es-MX"/>
            <w14:ligatures w14:val="none"/>
          </w:rPr>
          <w:t>https://normograma.dian.gov.co/dian/.</w:t>
        </w:r>
      </w:hyperlink>
    </w:p>
    <w:p w14:paraId="5A319AEB"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3C11121F"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Atentamente,</w:t>
      </w:r>
    </w:p>
    <w:p w14:paraId="75F1068D"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3A954084"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(Fdo.) ANA KARINA MÉNDEZ FERNÁNDEZ, Subdirector de Normativa y Doctrina (A)</w:t>
      </w:r>
    </w:p>
    <w:p w14:paraId="0AD8D402"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Dirección de Gestión Jurídica</w:t>
      </w:r>
    </w:p>
    <w:p w14:paraId="3B4A1237"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U.A.E. Dirección de Impuestos y Aduanas Nacionales – DIAN </w:t>
      </w:r>
    </w:p>
    <w:p w14:paraId="23A99861"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hyperlink r:id="rId6" w:history="1">
        <w:r w:rsidRPr="003E1243">
          <w:rPr>
            <w:rFonts w:ascii="Verdana" w:eastAsia="Times New Roman" w:hAnsi="Verdana" w:cs="Times New Roman"/>
            <w:color w:val="000000"/>
            <w:kern w:val="0"/>
            <w:u w:val="single"/>
            <w:lang w:val="es-CO" w:eastAsia="es-MX"/>
            <w14:ligatures w14:val="none"/>
          </w:rPr>
          <w:t>www.dian.gov.co</w:t>
        </w:r>
      </w:hyperlink>
    </w:p>
    <w:p w14:paraId="3C479742" w14:textId="77777777" w:rsidR="003E1243" w:rsidRPr="003E1243" w:rsidRDefault="003E1243" w:rsidP="003E1243">
      <w:pPr>
        <w:spacing w:after="240"/>
        <w:rPr>
          <w:rFonts w:ascii="Times New Roman" w:eastAsia="Times New Roman" w:hAnsi="Times New Roman" w:cs="Times New Roman"/>
          <w:kern w:val="0"/>
          <w:lang w:val="es-CO" w:eastAsia="es-MX"/>
          <w14:ligatures w14:val="none"/>
        </w:rPr>
      </w:pPr>
    </w:p>
    <w:p w14:paraId="21828689"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lastRenderedPageBreak/>
        <w:t>Proyectó: Doris Alicia Sierra Pérez – Subdirección de Normativa y Doctrina. </w:t>
      </w:r>
    </w:p>
    <w:p w14:paraId="276FFB28" w14:textId="77777777" w:rsidR="003E1243" w:rsidRPr="003E1243" w:rsidRDefault="003E1243" w:rsidP="003E1243">
      <w:pPr>
        <w:jc w:val="both"/>
        <w:rPr>
          <w:rFonts w:ascii="Times New Roman" w:eastAsia="Times New Roman" w:hAnsi="Times New Roman" w:cs="Times New Roman"/>
          <w:kern w:val="0"/>
          <w:lang w:val="es-CO" w:eastAsia="es-MX"/>
          <w14:ligatures w14:val="none"/>
        </w:rPr>
      </w:pPr>
      <w:r w:rsidRPr="003E1243">
        <w:rPr>
          <w:rFonts w:ascii="Verdana" w:eastAsia="Times New Roman" w:hAnsi="Verdana" w:cs="Times New Roman"/>
          <w:color w:val="000000"/>
          <w:kern w:val="0"/>
          <w:lang w:val="es-CO" w:eastAsia="es-MX"/>
          <w14:ligatures w14:val="none"/>
        </w:rPr>
        <w:t>Revisó: Alexandra Oyuela Mancera – Subdirección de Normativa y Doctrina.</w:t>
      </w:r>
    </w:p>
    <w:p w14:paraId="0E02E8A7" w14:textId="77777777" w:rsidR="003E1243" w:rsidRPr="003E1243" w:rsidRDefault="003E1243" w:rsidP="003E1243">
      <w:pPr>
        <w:rPr>
          <w:rFonts w:ascii="Times New Roman" w:eastAsia="Times New Roman" w:hAnsi="Times New Roman" w:cs="Times New Roman"/>
          <w:kern w:val="0"/>
          <w:lang w:val="es-CO" w:eastAsia="es-MX"/>
          <w14:ligatures w14:val="none"/>
        </w:rPr>
      </w:pPr>
    </w:p>
    <w:p w14:paraId="46103F1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236"/>
    <w:multiLevelType w:val="multilevel"/>
    <w:tmpl w:val="4BE28B0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155A91"/>
    <w:multiLevelType w:val="multilevel"/>
    <w:tmpl w:val="6DB2C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051BD4"/>
    <w:multiLevelType w:val="multilevel"/>
    <w:tmpl w:val="B5CA78A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E51C3D"/>
    <w:multiLevelType w:val="multilevel"/>
    <w:tmpl w:val="25F695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8B2BDC"/>
    <w:multiLevelType w:val="multilevel"/>
    <w:tmpl w:val="90CA324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AF5B16"/>
    <w:multiLevelType w:val="multilevel"/>
    <w:tmpl w:val="4298216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281308"/>
    <w:multiLevelType w:val="multilevel"/>
    <w:tmpl w:val="7DB648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A4776C"/>
    <w:multiLevelType w:val="multilevel"/>
    <w:tmpl w:val="964418E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2B7A0E"/>
    <w:multiLevelType w:val="multilevel"/>
    <w:tmpl w:val="689ED25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B465AEA"/>
    <w:multiLevelType w:val="multilevel"/>
    <w:tmpl w:val="3692D05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13090E"/>
    <w:multiLevelType w:val="multilevel"/>
    <w:tmpl w:val="430CA1F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D91E8B"/>
    <w:multiLevelType w:val="multilevel"/>
    <w:tmpl w:val="DDBE51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D1C176D"/>
    <w:multiLevelType w:val="multilevel"/>
    <w:tmpl w:val="EB108C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8B76AD"/>
    <w:multiLevelType w:val="multilevel"/>
    <w:tmpl w:val="54F806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0285ADF"/>
    <w:multiLevelType w:val="multilevel"/>
    <w:tmpl w:val="EA9022B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54B744D"/>
    <w:multiLevelType w:val="multilevel"/>
    <w:tmpl w:val="0C2683B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BA34A7"/>
    <w:multiLevelType w:val="multilevel"/>
    <w:tmpl w:val="6BF4C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FEA6E4B"/>
    <w:multiLevelType w:val="multilevel"/>
    <w:tmpl w:val="FE300DD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236702A"/>
    <w:multiLevelType w:val="multilevel"/>
    <w:tmpl w:val="8C14789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1E8239B"/>
    <w:multiLevelType w:val="multilevel"/>
    <w:tmpl w:val="4E1044B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933090"/>
    <w:multiLevelType w:val="multilevel"/>
    <w:tmpl w:val="65FE5DD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8724991">
    <w:abstractNumId w:val="1"/>
  </w:num>
  <w:num w:numId="2" w16cid:durableId="433675298">
    <w:abstractNumId w:val="12"/>
    <w:lvlOverride w:ilvl="0">
      <w:lvl w:ilvl="0">
        <w:numFmt w:val="decimal"/>
        <w:lvlText w:val="%1."/>
        <w:lvlJc w:val="left"/>
      </w:lvl>
    </w:lvlOverride>
  </w:num>
  <w:num w:numId="3" w16cid:durableId="1988968867">
    <w:abstractNumId w:val="3"/>
    <w:lvlOverride w:ilvl="0">
      <w:lvl w:ilvl="0">
        <w:numFmt w:val="decimal"/>
        <w:lvlText w:val="%1."/>
        <w:lvlJc w:val="left"/>
      </w:lvl>
    </w:lvlOverride>
  </w:num>
  <w:num w:numId="4" w16cid:durableId="578903889">
    <w:abstractNumId w:val="6"/>
    <w:lvlOverride w:ilvl="0">
      <w:lvl w:ilvl="0">
        <w:numFmt w:val="decimal"/>
        <w:lvlText w:val="%1."/>
        <w:lvlJc w:val="left"/>
      </w:lvl>
    </w:lvlOverride>
  </w:num>
  <w:num w:numId="5" w16cid:durableId="1345327329">
    <w:abstractNumId w:val="13"/>
    <w:lvlOverride w:ilvl="0">
      <w:lvl w:ilvl="0">
        <w:numFmt w:val="decimal"/>
        <w:lvlText w:val="%1."/>
        <w:lvlJc w:val="left"/>
      </w:lvl>
    </w:lvlOverride>
  </w:num>
  <w:num w:numId="6" w16cid:durableId="239410581">
    <w:abstractNumId w:val="18"/>
    <w:lvlOverride w:ilvl="0">
      <w:lvl w:ilvl="0">
        <w:numFmt w:val="decimal"/>
        <w:lvlText w:val="%1."/>
        <w:lvlJc w:val="left"/>
      </w:lvl>
    </w:lvlOverride>
  </w:num>
  <w:num w:numId="7" w16cid:durableId="2098164616">
    <w:abstractNumId w:val="11"/>
    <w:lvlOverride w:ilvl="0">
      <w:lvl w:ilvl="0">
        <w:numFmt w:val="decimal"/>
        <w:lvlText w:val="%1."/>
        <w:lvlJc w:val="left"/>
      </w:lvl>
    </w:lvlOverride>
  </w:num>
  <w:num w:numId="8" w16cid:durableId="228853760">
    <w:abstractNumId w:val="16"/>
    <w:lvlOverride w:ilvl="0">
      <w:lvl w:ilvl="0">
        <w:numFmt w:val="decimal"/>
        <w:lvlText w:val="%1."/>
        <w:lvlJc w:val="left"/>
      </w:lvl>
    </w:lvlOverride>
  </w:num>
  <w:num w:numId="9" w16cid:durableId="2046368031">
    <w:abstractNumId w:val="17"/>
    <w:lvlOverride w:ilvl="0">
      <w:lvl w:ilvl="0">
        <w:numFmt w:val="decimal"/>
        <w:lvlText w:val="%1."/>
        <w:lvlJc w:val="left"/>
      </w:lvl>
    </w:lvlOverride>
  </w:num>
  <w:num w:numId="10" w16cid:durableId="1872380236">
    <w:abstractNumId w:val="9"/>
    <w:lvlOverride w:ilvl="0">
      <w:lvl w:ilvl="0">
        <w:numFmt w:val="decimal"/>
        <w:lvlText w:val="%1."/>
        <w:lvlJc w:val="left"/>
      </w:lvl>
    </w:lvlOverride>
  </w:num>
  <w:num w:numId="11" w16cid:durableId="1846703895">
    <w:abstractNumId w:val="8"/>
    <w:lvlOverride w:ilvl="0">
      <w:lvl w:ilvl="0">
        <w:numFmt w:val="decimal"/>
        <w:lvlText w:val="%1."/>
        <w:lvlJc w:val="left"/>
      </w:lvl>
    </w:lvlOverride>
  </w:num>
  <w:num w:numId="12" w16cid:durableId="1646355098">
    <w:abstractNumId w:val="5"/>
    <w:lvlOverride w:ilvl="0">
      <w:lvl w:ilvl="0">
        <w:numFmt w:val="decimal"/>
        <w:lvlText w:val="%1."/>
        <w:lvlJc w:val="left"/>
      </w:lvl>
    </w:lvlOverride>
  </w:num>
  <w:num w:numId="13" w16cid:durableId="1235967738">
    <w:abstractNumId w:val="10"/>
    <w:lvlOverride w:ilvl="0">
      <w:lvl w:ilvl="0">
        <w:numFmt w:val="decimal"/>
        <w:lvlText w:val="%1."/>
        <w:lvlJc w:val="left"/>
      </w:lvl>
    </w:lvlOverride>
  </w:num>
  <w:num w:numId="14" w16cid:durableId="2017146913">
    <w:abstractNumId w:val="2"/>
    <w:lvlOverride w:ilvl="0">
      <w:lvl w:ilvl="0">
        <w:numFmt w:val="decimal"/>
        <w:lvlText w:val="%1."/>
        <w:lvlJc w:val="left"/>
      </w:lvl>
    </w:lvlOverride>
  </w:num>
  <w:num w:numId="15" w16cid:durableId="1275402246">
    <w:abstractNumId w:val="14"/>
    <w:lvlOverride w:ilvl="0">
      <w:lvl w:ilvl="0">
        <w:numFmt w:val="decimal"/>
        <w:lvlText w:val="%1."/>
        <w:lvlJc w:val="left"/>
      </w:lvl>
    </w:lvlOverride>
  </w:num>
  <w:num w:numId="16" w16cid:durableId="1698700804">
    <w:abstractNumId w:val="0"/>
    <w:lvlOverride w:ilvl="0">
      <w:lvl w:ilvl="0">
        <w:numFmt w:val="decimal"/>
        <w:lvlText w:val="%1."/>
        <w:lvlJc w:val="left"/>
      </w:lvl>
    </w:lvlOverride>
  </w:num>
  <w:num w:numId="17" w16cid:durableId="319382693">
    <w:abstractNumId w:val="4"/>
    <w:lvlOverride w:ilvl="0">
      <w:lvl w:ilvl="0">
        <w:numFmt w:val="decimal"/>
        <w:lvlText w:val="%1."/>
        <w:lvlJc w:val="left"/>
      </w:lvl>
    </w:lvlOverride>
  </w:num>
  <w:num w:numId="18" w16cid:durableId="1892688524">
    <w:abstractNumId w:val="20"/>
    <w:lvlOverride w:ilvl="0">
      <w:lvl w:ilvl="0">
        <w:numFmt w:val="decimal"/>
        <w:lvlText w:val="%1."/>
        <w:lvlJc w:val="left"/>
      </w:lvl>
    </w:lvlOverride>
  </w:num>
  <w:num w:numId="19" w16cid:durableId="955798057">
    <w:abstractNumId w:val="15"/>
    <w:lvlOverride w:ilvl="0">
      <w:lvl w:ilvl="0">
        <w:numFmt w:val="decimal"/>
        <w:lvlText w:val="%1."/>
        <w:lvlJc w:val="left"/>
      </w:lvl>
    </w:lvlOverride>
  </w:num>
  <w:num w:numId="20" w16cid:durableId="767579871">
    <w:abstractNumId w:val="19"/>
    <w:lvlOverride w:ilvl="0">
      <w:lvl w:ilvl="0">
        <w:numFmt w:val="decimal"/>
        <w:lvlText w:val="%1."/>
        <w:lvlJc w:val="left"/>
      </w:lvl>
    </w:lvlOverride>
  </w:num>
  <w:num w:numId="21" w16cid:durableId="1057240996">
    <w:abstractNumId w:val="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243"/>
    <w:rsid w:val="000B2285"/>
    <w:rsid w:val="00216E43"/>
    <w:rsid w:val="003E1243"/>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330396A"/>
  <w14:defaultImageDpi w14:val="32767"/>
  <w15:chartTrackingRefBased/>
  <w15:docId w15:val="{E0196E78-2BC1-474D-B24A-343746AA7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E12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E12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E124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E124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E124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E124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E124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E124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E124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124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E124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E124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E124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E124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E124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E124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E124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E1243"/>
    <w:rPr>
      <w:rFonts w:eastAsiaTheme="majorEastAsia" w:cstheme="majorBidi"/>
      <w:color w:val="272727" w:themeColor="text1" w:themeTint="D8"/>
    </w:rPr>
  </w:style>
  <w:style w:type="paragraph" w:styleId="Ttulo">
    <w:name w:val="Title"/>
    <w:basedOn w:val="Normal"/>
    <w:next w:val="Normal"/>
    <w:link w:val="TtuloCar"/>
    <w:uiPriority w:val="10"/>
    <w:qFormat/>
    <w:rsid w:val="003E124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E124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E124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E124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E124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E1243"/>
    <w:rPr>
      <w:i/>
      <w:iCs/>
      <w:color w:val="404040" w:themeColor="text1" w:themeTint="BF"/>
    </w:rPr>
  </w:style>
  <w:style w:type="paragraph" w:styleId="Prrafodelista">
    <w:name w:val="List Paragraph"/>
    <w:basedOn w:val="Normal"/>
    <w:uiPriority w:val="34"/>
    <w:qFormat/>
    <w:rsid w:val="003E1243"/>
    <w:pPr>
      <w:ind w:left="720"/>
      <w:contextualSpacing/>
    </w:pPr>
  </w:style>
  <w:style w:type="character" w:styleId="nfasisintenso">
    <w:name w:val="Intense Emphasis"/>
    <w:basedOn w:val="Fuentedeprrafopredeter"/>
    <w:uiPriority w:val="21"/>
    <w:qFormat/>
    <w:rsid w:val="003E1243"/>
    <w:rPr>
      <w:i/>
      <w:iCs/>
      <w:color w:val="2F5496" w:themeColor="accent1" w:themeShade="BF"/>
    </w:rPr>
  </w:style>
  <w:style w:type="paragraph" w:styleId="Citadestacada">
    <w:name w:val="Intense Quote"/>
    <w:basedOn w:val="Normal"/>
    <w:next w:val="Normal"/>
    <w:link w:val="CitadestacadaCar"/>
    <w:uiPriority w:val="30"/>
    <w:qFormat/>
    <w:rsid w:val="003E12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E1243"/>
    <w:rPr>
      <w:i/>
      <w:iCs/>
      <w:color w:val="2F5496" w:themeColor="accent1" w:themeShade="BF"/>
    </w:rPr>
  </w:style>
  <w:style w:type="character" w:styleId="Referenciaintensa">
    <w:name w:val="Intense Reference"/>
    <w:basedOn w:val="Fuentedeprrafopredeter"/>
    <w:uiPriority w:val="32"/>
    <w:qFormat/>
    <w:rsid w:val="003E1243"/>
    <w:rPr>
      <w:b/>
      <w:bCs/>
      <w:smallCaps/>
      <w:color w:val="2F5496" w:themeColor="accent1" w:themeShade="BF"/>
      <w:spacing w:val="5"/>
    </w:rPr>
  </w:style>
  <w:style w:type="paragraph" w:styleId="NormalWeb">
    <w:name w:val="Normal (Web)"/>
    <w:basedOn w:val="Normal"/>
    <w:uiPriority w:val="99"/>
    <w:semiHidden/>
    <w:unhideWhenUsed/>
    <w:rsid w:val="003E1243"/>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3E1243"/>
  </w:style>
  <w:style w:type="character" w:styleId="Hipervnculo">
    <w:name w:val="Hyperlink"/>
    <w:basedOn w:val="Fuentedeprrafopredeter"/>
    <w:uiPriority w:val="99"/>
    <w:semiHidden/>
    <w:unhideWhenUsed/>
    <w:rsid w:val="003E12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1654</Words>
  <Characters>9102</Characters>
  <Application>Microsoft Office Word</Application>
  <DocSecurity>0</DocSecurity>
  <Lines>75</Lines>
  <Paragraphs>21</Paragraphs>
  <ScaleCrop>false</ScaleCrop>
  <Company/>
  <LinksUpToDate>false</LinksUpToDate>
  <CharactersWithSpaces>10735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2025-08-20T16:22:00Z</dcterms:created>
  <dcterms:modified xsi:type="dcterms:W3CDTF">2025-08-20T16:23:00Z</dcterms:modified>
</cp:coreProperties>
</file>