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85983"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b/>
          <w:bCs/>
          <w:color w:val="000000"/>
          <w:kern w:val="0"/>
          <w:lang w:val="es-CO" w:eastAsia="es-MX"/>
          <w14:ligatures w14:val="none"/>
        </w:rPr>
        <w:t>CONCEPTO 966 DEL 1 DE JULIO DE 2025</w:t>
      </w:r>
    </w:p>
    <w:p w14:paraId="687EB84D"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b/>
          <w:bCs/>
          <w:color w:val="000000"/>
          <w:kern w:val="0"/>
          <w:lang w:val="es-CO" w:eastAsia="es-MX"/>
          <w14:ligatures w14:val="none"/>
        </w:rPr>
        <w:t>DIRECCIÓN DE IMPUESTOS Y ADUANAS NACIONALES</w:t>
      </w:r>
    </w:p>
    <w:p w14:paraId="60714746"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74C83872"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Bogotá, D.C., 1 de julio de 2025</w:t>
      </w:r>
    </w:p>
    <w:p w14:paraId="402A5C75"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3429D5B0"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Tema:</w:t>
      </w:r>
      <w:r w:rsidRPr="00F167EC">
        <w:rPr>
          <w:rFonts w:ascii="Verdana" w:eastAsia="Times New Roman" w:hAnsi="Verdana" w:cs="Times New Roman"/>
          <w:color w:val="000000"/>
          <w:kern w:val="0"/>
          <w:lang w:val="es-CO" w:eastAsia="es-MX"/>
          <w14:ligatures w14:val="none"/>
        </w:rPr>
        <w:tab/>
        <w:t>Procedimiento tributario</w:t>
      </w:r>
    </w:p>
    <w:p w14:paraId="0A9B1142" w14:textId="5C6C7FF5" w:rsidR="00F167EC" w:rsidRPr="00F167EC" w:rsidRDefault="00F167EC" w:rsidP="00F167EC">
      <w:pPr>
        <w:ind w:left="2120" w:hanging="2120"/>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Descriptores:</w:t>
      </w:r>
      <w:r w:rsidRPr="00F167EC">
        <w:rPr>
          <w:rFonts w:ascii="Verdana" w:eastAsia="Times New Roman" w:hAnsi="Verdana" w:cs="Times New Roman"/>
          <w:color w:val="000000"/>
          <w:kern w:val="0"/>
          <w:lang w:val="es-CO" w:eastAsia="es-MX"/>
          <w14:ligatures w14:val="none"/>
        </w:rPr>
        <w:tab/>
        <w:t>Responsables Impuesto unificado Régimen simple de tributación Liquidación de aforo</w:t>
      </w:r>
      <w:r>
        <w:rPr>
          <w:rFonts w:ascii="Times New Roman" w:eastAsia="Times New Roman" w:hAnsi="Times New Roman" w:cs="Times New Roman"/>
          <w:kern w:val="0"/>
          <w:lang w:val="es-CO" w:eastAsia="es-MX"/>
          <w14:ligatures w14:val="none"/>
        </w:rPr>
        <w:t xml:space="preserve"> </w:t>
      </w:r>
      <w:r w:rsidRPr="00F167EC">
        <w:rPr>
          <w:rFonts w:ascii="Verdana" w:eastAsia="Times New Roman" w:hAnsi="Verdana" w:cs="Times New Roman"/>
          <w:color w:val="000000"/>
          <w:kern w:val="0"/>
          <w:lang w:val="es-CO" w:eastAsia="es-MX"/>
          <w14:ligatures w14:val="none"/>
        </w:rPr>
        <w:t>Omisos Impuesto sobre la renta</w:t>
      </w:r>
    </w:p>
    <w:p w14:paraId="79F1B730" w14:textId="378A5169" w:rsidR="00F167EC" w:rsidRPr="00F167EC" w:rsidRDefault="00F167EC" w:rsidP="00F167EC">
      <w:pPr>
        <w:ind w:left="2124" w:hanging="2124"/>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Fuentes formales:</w:t>
      </w:r>
      <w:r>
        <w:rPr>
          <w:rFonts w:ascii="Verdana" w:eastAsia="Times New Roman" w:hAnsi="Verdana" w:cs="Times New Roman"/>
          <w:color w:val="000000"/>
          <w:kern w:val="0"/>
          <w:lang w:val="es-CO" w:eastAsia="es-MX"/>
          <w14:ligatures w14:val="none"/>
        </w:rPr>
        <w:t xml:space="preserve"> </w:t>
      </w:r>
      <w:r w:rsidRPr="00F167EC">
        <w:rPr>
          <w:rFonts w:ascii="Verdana" w:eastAsia="Times New Roman" w:hAnsi="Verdana" w:cs="Times New Roman"/>
          <w:color w:val="000000"/>
          <w:kern w:val="0"/>
          <w:lang w:val="es-CO" w:eastAsia="es-MX"/>
          <w14:ligatures w14:val="none"/>
        </w:rPr>
        <w:t xml:space="preserve">Artículos 715, 717, 905 y 909 del Estatuto </w:t>
      </w:r>
      <w:r>
        <w:rPr>
          <w:rFonts w:ascii="Verdana" w:eastAsia="Times New Roman" w:hAnsi="Verdana" w:cs="Times New Roman"/>
          <w:color w:val="000000"/>
          <w:kern w:val="0"/>
          <w:lang w:val="es-CO" w:eastAsia="es-MX"/>
          <w14:ligatures w14:val="none"/>
        </w:rPr>
        <w:t>|</w:t>
      </w:r>
      <w:r w:rsidRPr="00F167EC">
        <w:rPr>
          <w:rFonts w:ascii="Verdana" w:eastAsia="Times New Roman" w:hAnsi="Verdana" w:cs="Times New Roman"/>
          <w:color w:val="000000"/>
          <w:kern w:val="0"/>
          <w:lang w:val="es-CO" w:eastAsia="es-MX"/>
          <w14:ligatures w14:val="none"/>
        </w:rPr>
        <w:t>Tributario.</w:t>
      </w:r>
    </w:p>
    <w:p w14:paraId="490D9EB4" w14:textId="77777777" w:rsidR="00F167EC" w:rsidRPr="00F167EC" w:rsidRDefault="00F167EC" w:rsidP="00F167EC">
      <w:pPr>
        <w:ind w:left="2268"/>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Artículos 1.5.8.4.1. y 1 .5.8.4.6. del Decreto 1625 de 2016</w:t>
      </w:r>
    </w:p>
    <w:p w14:paraId="2A8E3962"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2D3C1DD9"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Cordial saludo</w:t>
      </w:r>
    </w:p>
    <w:p w14:paraId="7651DEFA"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3DE41229" w14:textId="77777777" w:rsidR="00F167EC" w:rsidRPr="00F167EC" w:rsidRDefault="00F167EC" w:rsidP="00F167EC">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F167EC">
        <w:rPr>
          <w:rFonts w:ascii="Verdana" w:eastAsia="Times New Roman" w:hAnsi="Verdana" w:cs="Times New Roman"/>
          <w:color w:val="000000"/>
          <w:kern w:val="0"/>
          <w:sz w:val="14"/>
          <w:szCs w:val="14"/>
          <w:vertAlign w:val="superscript"/>
          <w:lang w:val="es-CO" w:eastAsia="es-MX"/>
          <w14:ligatures w14:val="none"/>
        </w:rPr>
        <w:t>1</w:t>
      </w:r>
      <w:r w:rsidRPr="00F167EC">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F167EC">
        <w:rPr>
          <w:rFonts w:ascii="Verdana" w:eastAsia="Times New Roman" w:hAnsi="Verdana" w:cs="Times New Roman"/>
          <w:color w:val="000000"/>
          <w:kern w:val="0"/>
          <w:sz w:val="14"/>
          <w:szCs w:val="14"/>
          <w:vertAlign w:val="superscript"/>
          <w:lang w:val="es-CO" w:eastAsia="es-MX"/>
          <w14:ligatures w14:val="none"/>
        </w:rPr>
        <w:t>2</w:t>
      </w:r>
      <w:r w:rsidRPr="00F167EC">
        <w:rPr>
          <w:rFonts w:ascii="Verdana" w:eastAsia="Times New Roman" w:hAnsi="Verdana" w:cs="Times New Roman"/>
          <w:color w:val="000000"/>
          <w:kern w:val="0"/>
          <w:lang w:val="es-CO" w:eastAsia="es-MX"/>
          <w14:ligatures w14:val="none"/>
        </w:rPr>
        <w:t>.</w:t>
      </w:r>
    </w:p>
    <w:p w14:paraId="7199739A"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26F4CA71" w14:textId="77777777" w:rsidR="00F167EC" w:rsidRPr="00F167EC" w:rsidRDefault="00F167EC" w:rsidP="00F167EC">
      <w:pPr>
        <w:jc w:val="both"/>
        <w:outlineLvl w:val="0"/>
        <w:rPr>
          <w:rFonts w:ascii="Times New Roman" w:eastAsia="Times New Roman" w:hAnsi="Times New Roman" w:cs="Times New Roman"/>
          <w:b/>
          <w:bCs/>
          <w:kern w:val="36"/>
          <w:sz w:val="48"/>
          <w:szCs w:val="48"/>
          <w:lang w:val="es-CO" w:eastAsia="es-MX"/>
          <w14:ligatures w14:val="none"/>
        </w:rPr>
      </w:pPr>
      <w:r w:rsidRPr="00F167EC">
        <w:rPr>
          <w:rFonts w:ascii="Verdana" w:eastAsia="Times New Roman" w:hAnsi="Verdana" w:cs="Times New Roman"/>
          <w:b/>
          <w:bCs/>
          <w:color w:val="000000"/>
          <w:kern w:val="36"/>
          <w:lang w:val="es-CO" w:eastAsia="es-MX"/>
          <w14:ligatures w14:val="none"/>
        </w:rPr>
        <w:t>PROBLEMA JURÍDICO</w:t>
      </w:r>
    </w:p>
    <w:p w14:paraId="18070F52"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61E36E17" w14:textId="77777777" w:rsidR="00F167EC" w:rsidRPr="00F167EC" w:rsidRDefault="00F167EC" w:rsidP="00F167EC">
      <w:pPr>
        <w:numPr>
          <w:ilvl w:val="0"/>
          <w:numId w:val="2"/>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¿Es procedente que la DIAN profiera liquidación de aforo a contribuyentes del Régimen Simple de Tributación (RST), que no hayan presentado declaraciones del Impuesto sobre la renta correspondiente a períodos anteriores al momento de la inscripción en el mencionado régimen?</w:t>
      </w:r>
    </w:p>
    <w:p w14:paraId="6D03561F"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340BE770" w14:textId="77777777" w:rsidR="00F167EC" w:rsidRPr="00F167EC" w:rsidRDefault="00F167EC" w:rsidP="00F167EC">
      <w:pPr>
        <w:jc w:val="both"/>
        <w:outlineLvl w:val="0"/>
        <w:rPr>
          <w:rFonts w:ascii="Times New Roman" w:eastAsia="Times New Roman" w:hAnsi="Times New Roman" w:cs="Times New Roman"/>
          <w:b/>
          <w:bCs/>
          <w:kern w:val="36"/>
          <w:sz w:val="48"/>
          <w:szCs w:val="48"/>
          <w:lang w:val="es-CO" w:eastAsia="es-MX"/>
          <w14:ligatures w14:val="none"/>
        </w:rPr>
      </w:pPr>
      <w:r w:rsidRPr="00F167EC">
        <w:rPr>
          <w:rFonts w:ascii="Verdana" w:eastAsia="Times New Roman" w:hAnsi="Verdana" w:cs="Times New Roman"/>
          <w:b/>
          <w:bCs/>
          <w:color w:val="000000"/>
          <w:kern w:val="36"/>
          <w:lang w:val="es-CO" w:eastAsia="es-MX"/>
          <w14:ligatures w14:val="none"/>
        </w:rPr>
        <w:t>TESIS JURÍDICA</w:t>
      </w:r>
    </w:p>
    <w:p w14:paraId="47BA770C"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5775EC83" w14:textId="77777777" w:rsidR="00F167EC" w:rsidRPr="00F167EC" w:rsidRDefault="00F167EC" w:rsidP="00F167EC">
      <w:pPr>
        <w:numPr>
          <w:ilvl w:val="0"/>
          <w:numId w:val="3"/>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Si. La inscripción en el RST, por parte de omisos del impuesto sobre la renta, no desconoce la facultad que tiene la DIAN de proferir liquidaciones de aforo a los contribuyentes que no hayan presentado declaraciones del impuesto sobre la renta, correspondientes a períodos anteriores a la inscripción en el mencionado régimen. Para el efecto, la DIAN -en ejercicio de la facultad conferida en el artículo 717 del Estatuto Tributario (E.T.)- podrá determinar el impuesto de los periodos anteriores a la inscripción en el RST mediante una liquidación de aforo, previa notificación del emplazamiento al que alude el artículo 715 </w:t>
      </w:r>
      <w:proofErr w:type="spellStart"/>
      <w:r w:rsidRPr="00F167EC">
        <w:rPr>
          <w:rFonts w:ascii="Verdana" w:eastAsia="Times New Roman" w:hAnsi="Verdana" w:cs="Times New Roman"/>
          <w:color w:val="000000"/>
          <w:kern w:val="0"/>
          <w:lang w:val="es-CO" w:eastAsia="es-MX"/>
          <w14:ligatures w14:val="none"/>
        </w:rPr>
        <w:t>ibídem</w:t>
      </w:r>
      <w:proofErr w:type="spellEnd"/>
      <w:r w:rsidRPr="00F167EC">
        <w:rPr>
          <w:rFonts w:ascii="Verdana" w:eastAsia="Times New Roman" w:hAnsi="Verdana" w:cs="Times New Roman"/>
          <w:color w:val="000000"/>
          <w:kern w:val="0"/>
          <w:lang w:val="es-CO" w:eastAsia="es-MX"/>
          <w14:ligatures w14:val="none"/>
        </w:rPr>
        <w:t>.</w:t>
      </w:r>
    </w:p>
    <w:p w14:paraId="61FF3FAB"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183A7A69" w14:textId="77777777" w:rsidR="00F167EC" w:rsidRPr="00F167EC" w:rsidRDefault="00F167EC" w:rsidP="00F167EC">
      <w:pPr>
        <w:jc w:val="both"/>
        <w:outlineLvl w:val="0"/>
        <w:rPr>
          <w:rFonts w:ascii="Times New Roman" w:eastAsia="Times New Roman" w:hAnsi="Times New Roman" w:cs="Times New Roman"/>
          <w:b/>
          <w:bCs/>
          <w:kern w:val="36"/>
          <w:sz w:val="48"/>
          <w:szCs w:val="48"/>
          <w:lang w:val="es-CO" w:eastAsia="es-MX"/>
          <w14:ligatures w14:val="none"/>
        </w:rPr>
      </w:pPr>
      <w:r w:rsidRPr="00F167EC">
        <w:rPr>
          <w:rFonts w:ascii="Verdana" w:eastAsia="Times New Roman" w:hAnsi="Verdana" w:cs="Times New Roman"/>
          <w:b/>
          <w:bCs/>
          <w:color w:val="000000"/>
          <w:kern w:val="36"/>
          <w:lang w:val="es-CO" w:eastAsia="es-MX"/>
          <w14:ligatures w14:val="none"/>
        </w:rPr>
        <w:lastRenderedPageBreak/>
        <w:t>FUNDAMENTACIÓN</w:t>
      </w:r>
    </w:p>
    <w:p w14:paraId="1676C838"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65EBB70D" w14:textId="77777777" w:rsidR="00F167EC" w:rsidRPr="00F167EC" w:rsidRDefault="00F167EC" w:rsidP="00F167EC">
      <w:pPr>
        <w:numPr>
          <w:ilvl w:val="0"/>
          <w:numId w:val="4"/>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De conformidad con el artículo 717 del E.T., la DIAN se encuentra facultada para, dentro de los cinco (5) años siguientes al vencimiento del plazo señalado para declarar, determinar mediante una liquidación de aforo</w:t>
      </w:r>
      <w:r w:rsidRPr="00F167EC">
        <w:rPr>
          <w:rFonts w:ascii="Verdana" w:eastAsia="Times New Roman" w:hAnsi="Verdana" w:cs="Times New Roman"/>
          <w:color w:val="000000"/>
          <w:kern w:val="0"/>
          <w:sz w:val="14"/>
          <w:szCs w:val="14"/>
          <w:vertAlign w:val="superscript"/>
          <w:lang w:val="es-CO" w:eastAsia="es-MX"/>
          <w14:ligatures w14:val="none"/>
        </w:rPr>
        <w:t>3</w:t>
      </w:r>
      <w:r w:rsidRPr="00F167EC">
        <w:rPr>
          <w:rFonts w:ascii="Verdana" w:eastAsia="Times New Roman" w:hAnsi="Verdana" w:cs="Times New Roman"/>
          <w:color w:val="000000"/>
          <w:kern w:val="0"/>
          <w:lang w:val="es-CO" w:eastAsia="es-MX"/>
          <w14:ligatures w14:val="none"/>
        </w:rPr>
        <w:t>, la obligación tributaria al contribuyente, responsable, agente retenedor o declarante, que no haya declarado. Para el efecto, previamente, deberá emplazar al contribuyente omiso por el término de un (1) mes</w:t>
      </w:r>
      <w:r w:rsidRPr="00F167EC">
        <w:rPr>
          <w:rFonts w:ascii="Verdana" w:eastAsia="Times New Roman" w:hAnsi="Verdana" w:cs="Times New Roman"/>
          <w:color w:val="000000"/>
          <w:kern w:val="0"/>
          <w:sz w:val="14"/>
          <w:szCs w:val="14"/>
          <w:vertAlign w:val="superscript"/>
          <w:lang w:val="es-CO" w:eastAsia="es-MX"/>
          <w14:ligatures w14:val="none"/>
        </w:rPr>
        <w:t>4</w:t>
      </w:r>
      <w:r w:rsidRPr="00F167EC">
        <w:rPr>
          <w:rFonts w:ascii="Verdana" w:eastAsia="Times New Roman" w:hAnsi="Verdana" w:cs="Times New Roman"/>
          <w:color w:val="000000"/>
          <w:kern w:val="0"/>
          <w:lang w:val="es-CO" w:eastAsia="es-MX"/>
          <w14:ligatures w14:val="none"/>
        </w:rPr>
        <w:t>.</w:t>
      </w:r>
    </w:p>
    <w:p w14:paraId="1EDA5C18"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3A0BCD8D" w14:textId="77777777" w:rsidR="00F167EC" w:rsidRPr="00F167EC" w:rsidRDefault="00F167EC" w:rsidP="00F167EC">
      <w:pPr>
        <w:numPr>
          <w:ilvl w:val="0"/>
          <w:numId w:val="5"/>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Ahora bien, al revisar el artículo 717 </w:t>
      </w:r>
      <w:proofErr w:type="spellStart"/>
      <w:r w:rsidRPr="00F167EC">
        <w:rPr>
          <w:rFonts w:ascii="Verdana" w:eastAsia="Times New Roman" w:hAnsi="Verdana" w:cs="Times New Roman"/>
          <w:color w:val="000000"/>
          <w:kern w:val="0"/>
          <w:lang w:val="es-CO" w:eastAsia="es-MX"/>
          <w14:ligatures w14:val="none"/>
        </w:rPr>
        <w:t>ibídem</w:t>
      </w:r>
      <w:proofErr w:type="spellEnd"/>
      <w:r w:rsidRPr="00F167EC">
        <w:rPr>
          <w:rFonts w:ascii="Verdana" w:eastAsia="Times New Roman" w:hAnsi="Verdana" w:cs="Times New Roman"/>
          <w:color w:val="000000"/>
          <w:kern w:val="0"/>
          <w:lang w:val="es-CO" w:eastAsia="es-MX"/>
          <w14:ligatures w14:val="none"/>
        </w:rPr>
        <w:t xml:space="preserve"> se observa que la norma no contempla excepción alguna frente a la facultad que tiene la DIAN para determinar el impuesto a cargo de contribuyentes obligados a presentar declaraciones tributarias y que omitieron el cumplimiento de este deber formal. En este sentido, resulta claro que, en todos los casos que existan omisos frente a impuestos administrados por la DIAN, ésta podrá determinar el impuesto a cargo mediante una liquidación de aforo, previo emplazamiento realizado al contribuyente incumplido.</w:t>
      </w:r>
    </w:p>
    <w:p w14:paraId="71D962FA"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3BB6F8F9" w14:textId="77777777" w:rsidR="00F167EC" w:rsidRPr="00F167EC" w:rsidRDefault="00F167EC" w:rsidP="00F167EC">
      <w:pPr>
        <w:numPr>
          <w:ilvl w:val="0"/>
          <w:numId w:val="6"/>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Por otro lado, el RST fue creado como un modelo de tributación opcional de determinación integral, de declaración anual y anticipo bimestral, que sustituye el impuesto sobre la renta, e integra el impuesto nacional al consumo y el impuesto de industria y comercio consolidado</w:t>
      </w:r>
      <w:r w:rsidRPr="00F167EC">
        <w:rPr>
          <w:rFonts w:ascii="Verdana" w:eastAsia="Times New Roman" w:hAnsi="Verdana" w:cs="Times New Roman"/>
          <w:color w:val="000000"/>
          <w:kern w:val="0"/>
          <w:sz w:val="14"/>
          <w:szCs w:val="14"/>
          <w:vertAlign w:val="superscript"/>
          <w:lang w:val="es-CO" w:eastAsia="es-MX"/>
          <w14:ligatures w14:val="none"/>
        </w:rPr>
        <w:t>5</w:t>
      </w:r>
      <w:r w:rsidRPr="00F167EC">
        <w:rPr>
          <w:rFonts w:ascii="Verdana" w:eastAsia="Times New Roman" w:hAnsi="Verdana" w:cs="Times New Roman"/>
          <w:color w:val="000000"/>
          <w:kern w:val="0"/>
          <w:lang w:val="es-CO" w:eastAsia="es-MX"/>
          <w14:ligatures w14:val="none"/>
        </w:rPr>
        <w:t>, a cargo de los contribuyentes que opten voluntariamente por acogerse al mismo, y cuya finalidad es la de contribuir e incentivar el proceso de formalización de los contribuyentes al reducir los costos asociados al cumplimiento de sus obligaciones fiscales</w:t>
      </w:r>
      <w:r w:rsidRPr="00F167EC">
        <w:rPr>
          <w:rFonts w:ascii="Verdana" w:eastAsia="Times New Roman" w:hAnsi="Verdana" w:cs="Times New Roman"/>
          <w:color w:val="000000"/>
          <w:kern w:val="0"/>
          <w:sz w:val="14"/>
          <w:szCs w:val="14"/>
          <w:vertAlign w:val="superscript"/>
          <w:lang w:val="es-CO" w:eastAsia="es-MX"/>
          <w14:ligatures w14:val="none"/>
        </w:rPr>
        <w:t>6</w:t>
      </w:r>
      <w:r w:rsidRPr="00F167EC">
        <w:rPr>
          <w:rFonts w:ascii="Verdana" w:eastAsia="Times New Roman" w:hAnsi="Verdana" w:cs="Times New Roman"/>
          <w:color w:val="000000"/>
          <w:kern w:val="0"/>
          <w:lang w:val="es-CO" w:eastAsia="es-MX"/>
          <w14:ligatures w14:val="none"/>
        </w:rPr>
        <w:t>.</w:t>
      </w:r>
    </w:p>
    <w:p w14:paraId="757A2E5D"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6B5191AE" w14:textId="77777777" w:rsidR="00F167EC" w:rsidRPr="00F167EC" w:rsidRDefault="00F167EC" w:rsidP="00F167EC">
      <w:pPr>
        <w:numPr>
          <w:ilvl w:val="0"/>
          <w:numId w:val="7"/>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Las personas naturales o jurídicas que cumplan con las condiciones señaladas en el artículo 905 del E.T.</w:t>
      </w:r>
      <w:r w:rsidRPr="00F167EC">
        <w:rPr>
          <w:rFonts w:ascii="Verdana" w:eastAsia="Times New Roman" w:hAnsi="Verdana" w:cs="Times New Roman"/>
          <w:color w:val="000000"/>
          <w:kern w:val="0"/>
          <w:sz w:val="14"/>
          <w:szCs w:val="14"/>
          <w:vertAlign w:val="superscript"/>
          <w:lang w:val="es-CO" w:eastAsia="es-MX"/>
          <w14:ligatures w14:val="none"/>
        </w:rPr>
        <w:t>7</w:t>
      </w:r>
      <w:r w:rsidRPr="00F167EC">
        <w:rPr>
          <w:rFonts w:ascii="Verdana" w:eastAsia="Times New Roman" w:hAnsi="Verdana" w:cs="Times New Roman"/>
          <w:color w:val="000000"/>
          <w:kern w:val="0"/>
          <w:lang w:val="es-CO" w:eastAsia="es-MX"/>
          <w14:ligatures w14:val="none"/>
        </w:rPr>
        <w:t xml:space="preserve"> y opten por acogerse al RST, deberán inscribirse en el régimen observando lo previsto en el artículo 909 del E.T. La inscripción se concreta mediante la actualización del Registro Único Tributario (RUT) en caso de que el contribuyente ya se encuentre inscrito, o mediante la inscripción por primera vez en este registro</w:t>
      </w:r>
      <w:r w:rsidRPr="00F167EC">
        <w:rPr>
          <w:rFonts w:ascii="Verdana" w:eastAsia="Times New Roman" w:hAnsi="Verdana" w:cs="Times New Roman"/>
          <w:color w:val="000000"/>
          <w:kern w:val="0"/>
          <w:sz w:val="14"/>
          <w:szCs w:val="14"/>
          <w:vertAlign w:val="superscript"/>
          <w:lang w:val="es-CO" w:eastAsia="es-MX"/>
          <w14:ligatures w14:val="none"/>
        </w:rPr>
        <w:t>8</w:t>
      </w:r>
      <w:r w:rsidRPr="00F167EC">
        <w:rPr>
          <w:rFonts w:ascii="Verdana" w:eastAsia="Times New Roman" w:hAnsi="Verdana" w:cs="Times New Roman"/>
          <w:color w:val="000000"/>
          <w:kern w:val="0"/>
          <w:lang w:val="es-CO" w:eastAsia="es-MX"/>
          <w14:ligatures w14:val="none"/>
        </w:rPr>
        <w:t>.</w:t>
      </w:r>
    </w:p>
    <w:p w14:paraId="334EAFA1"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6CB49139" w14:textId="77777777" w:rsidR="00F167EC" w:rsidRPr="00F167EC" w:rsidRDefault="00F167EC" w:rsidP="00F167EC">
      <w:pPr>
        <w:numPr>
          <w:ilvl w:val="0"/>
          <w:numId w:val="8"/>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Concretamente, tratándose de un contribuyente que ya se encuentra inscritos en el RUT, la actualización de su responsabilidad en este registro como contribuyentes del RST tiene efectos hacia el futuro y, de ninguna manera, desconoce las obligaciones tributarias sustanciales y </w:t>
      </w:r>
      <w:r w:rsidRPr="00F167EC">
        <w:rPr>
          <w:rFonts w:ascii="Verdana" w:eastAsia="Times New Roman" w:hAnsi="Verdana" w:cs="Times New Roman"/>
          <w:color w:val="000000"/>
          <w:kern w:val="0"/>
          <w:lang w:val="es-CO" w:eastAsia="es-MX"/>
          <w14:ligatures w14:val="none"/>
        </w:rPr>
        <w:lastRenderedPageBreak/>
        <w:t>formales que hayan surgido con anterioridad al momento de la inscripción y posterior actualización del RUT.</w:t>
      </w:r>
    </w:p>
    <w:p w14:paraId="66341A76"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77E80A23" w14:textId="77777777" w:rsidR="00F167EC" w:rsidRPr="00F167EC" w:rsidRDefault="00F167EC" w:rsidP="00F167EC">
      <w:pPr>
        <w:numPr>
          <w:ilvl w:val="0"/>
          <w:numId w:val="9"/>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Así, si un contribuyente del Impuesto sobre la renta, que al momento de realizar la actualización del RUT para incluir la responsabilidad 47 correspondiente al RST, tiene obligaciones sustanciales o formales pendientes, deberá cumplirlas; so pena de que la DIAN -en ejercicio de sus facultades- haga exigible su cumplimiento.</w:t>
      </w:r>
    </w:p>
    <w:p w14:paraId="1BD9E8CA"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11C43B78" w14:textId="77777777" w:rsidR="00F167EC" w:rsidRPr="00F167EC" w:rsidRDefault="00F167EC" w:rsidP="00F167EC">
      <w:pPr>
        <w:numPr>
          <w:ilvl w:val="0"/>
          <w:numId w:val="10"/>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Por lo anterior, pertenecer al RST no desconoce la facultad que tiene la DIAN de proferir liquidaciones de aforo a los contribuyentes omisos del Impuesto sobre la renta, ni para fiscalizar las nuevas obligaciones que surjan como contribuyentes del RST.</w:t>
      </w:r>
    </w:p>
    <w:p w14:paraId="302A12E8"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59241D7B" w14:textId="77777777" w:rsidR="00F167EC" w:rsidRPr="00F167EC" w:rsidRDefault="00F167EC" w:rsidP="00F167EC">
      <w:pPr>
        <w:numPr>
          <w:ilvl w:val="0"/>
          <w:numId w:val="11"/>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Finalmente, la doctrina de esta Subdirección</w:t>
      </w:r>
      <w:r w:rsidRPr="00F167EC">
        <w:rPr>
          <w:rFonts w:ascii="Verdana" w:eastAsia="Times New Roman" w:hAnsi="Verdana" w:cs="Times New Roman"/>
          <w:color w:val="000000"/>
          <w:kern w:val="0"/>
          <w:sz w:val="14"/>
          <w:szCs w:val="14"/>
          <w:vertAlign w:val="superscript"/>
          <w:lang w:val="es-CO" w:eastAsia="es-MX"/>
          <w14:ligatures w14:val="none"/>
        </w:rPr>
        <w:t>9</w:t>
      </w:r>
      <w:r w:rsidRPr="00F167EC">
        <w:rPr>
          <w:rFonts w:ascii="Verdana" w:eastAsia="Times New Roman" w:hAnsi="Verdana" w:cs="Times New Roman"/>
          <w:color w:val="000000"/>
          <w:kern w:val="0"/>
          <w:lang w:val="es-CO" w:eastAsia="es-MX"/>
          <w14:ligatures w14:val="none"/>
        </w:rPr>
        <w:t xml:space="preserve"> ha sido clara al establecer que la exclusión del RST, a pesar de operar de manera automática</w:t>
      </w:r>
      <w:r w:rsidRPr="00F167EC">
        <w:rPr>
          <w:rFonts w:ascii="Verdana" w:eastAsia="Times New Roman" w:hAnsi="Verdana" w:cs="Times New Roman"/>
          <w:color w:val="000000"/>
          <w:kern w:val="0"/>
          <w:sz w:val="14"/>
          <w:szCs w:val="14"/>
          <w:vertAlign w:val="superscript"/>
          <w:lang w:val="es-CO" w:eastAsia="es-MX"/>
          <w14:ligatures w14:val="none"/>
        </w:rPr>
        <w:t>10</w:t>
      </w:r>
      <w:r w:rsidRPr="00F167EC">
        <w:rPr>
          <w:rFonts w:ascii="Verdana" w:eastAsia="Times New Roman" w:hAnsi="Verdana" w:cs="Times New Roman"/>
          <w:color w:val="000000"/>
          <w:kern w:val="0"/>
          <w:lang w:val="es-CO" w:eastAsia="es-MX"/>
          <w14:ligatures w14:val="none"/>
        </w:rPr>
        <w:t>, requiere de la expedición de un acto administrativo que así lo indique y que ordene la actualización del RUT.</w:t>
      </w:r>
    </w:p>
    <w:p w14:paraId="598BD14C"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63E933BD" w14:textId="77777777" w:rsidR="00F167EC" w:rsidRPr="00F167EC" w:rsidRDefault="00F167EC" w:rsidP="00F167EC">
      <w:pPr>
        <w:numPr>
          <w:ilvl w:val="0"/>
          <w:numId w:val="12"/>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Esta exclusión del RST tratándose del incumplimiento los requisitos no subsanables señalados en el artículo 1.5.8.4.1. del Decreto 1625 de 2016 se dará en el mismo periodo gravable que se presenta, mientras que el incumplimiento los requisitos subsanables del artículo 1.5.8.4.6. </w:t>
      </w:r>
      <w:r w:rsidRPr="00F167EC">
        <w:rPr>
          <w:rFonts w:ascii="Verdana" w:eastAsia="Times New Roman" w:hAnsi="Verdana" w:cs="Times New Roman"/>
          <w:i/>
          <w:iCs/>
          <w:color w:val="000000"/>
          <w:kern w:val="0"/>
          <w:lang w:val="es-CO" w:eastAsia="es-MX"/>
          <w14:ligatures w14:val="none"/>
        </w:rPr>
        <w:t>ibidem</w:t>
      </w:r>
      <w:r w:rsidRPr="00F167EC">
        <w:rPr>
          <w:rFonts w:ascii="Verdana" w:eastAsia="Times New Roman" w:hAnsi="Verdana" w:cs="Times New Roman"/>
          <w:color w:val="000000"/>
          <w:kern w:val="0"/>
          <w:lang w:val="es-CO" w:eastAsia="es-MX"/>
          <w14:ligatures w14:val="none"/>
        </w:rPr>
        <w:t>, sus efectos se darán a partir del año gravable siguiente a la firmeza del acto administrativo que así lo establezca.</w:t>
      </w:r>
    </w:p>
    <w:p w14:paraId="0472BF6B" w14:textId="77777777" w:rsidR="00F167EC" w:rsidRPr="00F167EC" w:rsidRDefault="00F167EC" w:rsidP="00F167EC">
      <w:pPr>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br/>
      </w:r>
    </w:p>
    <w:p w14:paraId="4126129C" w14:textId="77777777" w:rsidR="00F167EC" w:rsidRPr="00F167EC" w:rsidRDefault="00F167EC" w:rsidP="00F167EC">
      <w:pPr>
        <w:numPr>
          <w:ilvl w:val="0"/>
          <w:numId w:val="13"/>
        </w:numPr>
        <w:jc w:val="both"/>
        <w:textAlignment w:val="baseline"/>
        <w:rPr>
          <w:rFonts w:ascii="Verdana" w:eastAsia="Times New Roman" w:hAnsi="Verdana" w:cs="Times New Roman"/>
          <w:color w:val="000000"/>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F167EC">
          <w:rPr>
            <w:rFonts w:ascii="Verdana" w:eastAsia="Times New Roman" w:hAnsi="Verdana" w:cs="Times New Roman"/>
            <w:color w:val="000000"/>
            <w:kern w:val="0"/>
            <w:u w:val="single"/>
            <w:lang w:val="es-CO" w:eastAsia="es-MX"/>
            <w14:ligatures w14:val="none"/>
          </w:rPr>
          <w:t>https://normograma.dian.gov.co/dian/</w:t>
        </w:r>
      </w:hyperlink>
      <w:r w:rsidRPr="00F167EC">
        <w:rPr>
          <w:rFonts w:ascii="Verdana" w:eastAsia="Times New Roman" w:hAnsi="Verdana" w:cs="Times New Roman"/>
          <w:color w:val="000000"/>
          <w:kern w:val="0"/>
          <w:lang w:val="es-CO" w:eastAsia="es-MX"/>
          <w14:ligatures w14:val="none"/>
        </w:rPr>
        <w:t>.</w:t>
      </w:r>
    </w:p>
    <w:p w14:paraId="6CA4C0FD"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078C8D58"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Atentamente,</w:t>
      </w:r>
    </w:p>
    <w:p w14:paraId="36171DF2"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2FE49080"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(Fdo.) ANA KARINA MÉNDEZ FERNÁNDEZ, Subdirectora de Normativa y Doctrina (E) </w:t>
      </w:r>
    </w:p>
    <w:p w14:paraId="6E885231"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Dirección de Gestión Jurídica</w:t>
      </w:r>
    </w:p>
    <w:p w14:paraId="7EC61DE1"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U.A.E. Dirección de Impuestos y Aduanas Nacionales – DIAN </w:t>
      </w:r>
    </w:p>
    <w:p w14:paraId="11753927"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hyperlink r:id="rId6" w:history="1">
        <w:r w:rsidRPr="00F167EC">
          <w:rPr>
            <w:rFonts w:ascii="Verdana" w:eastAsia="Times New Roman" w:hAnsi="Verdana" w:cs="Times New Roman"/>
            <w:color w:val="000000"/>
            <w:kern w:val="0"/>
            <w:u w:val="single"/>
            <w:lang w:val="es-CO" w:eastAsia="es-MX"/>
            <w14:ligatures w14:val="none"/>
          </w:rPr>
          <w:t>www.dian.gov.co</w:t>
        </w:r>
      </w:hyperlink>
    </w:p>
    <w:p w14:paraId="591E3CBF" w14:textId="77777777" w:rsidR="00F167EC" w:rsidRPr="00F167EC" w:rsidRDefault="00F167EC" w:rsidP="00F167EC">
      <w:pPr>
        <w:spacing w:after="240"/>
        <w:rPr>
          <w:rFonts w:ascii="Times New Roman" w:eastAsia="Times New Roman" w:hAnsi="Times New Roman" w:cs="Times New Roman"/>
          <w:kern w:val="0"/>
          <w:lang w:val="es-CO" w:eastAsia="es-MX"/>
          <w14:ligatures w14:val="none"/>
        </w:rPr>
      </w:pPr>
      <w:r w:rsidRPr="00F167EC">
        <w:rPr>
          <w:rFonts w:ascii="Times New Roman" w:eastAsia="Times New Roman" w:hAnsi="Times New Roman" w:cs="Times New Roman"/>
          <w:kern w:val="0"/>
          <w:lang w:val="es-CO" w:eastAsia="es-MX"/>
          <w14:ligatures w14:val="none"/>
        </w:rPr>
        <w:lastRenderedPageBreak/>
        <w:br/>
      </w:r>
    </w:p>
    <w:p w14:paraId="780D5256" w14:textId="77777777" w:rsidR="00F167EC" w:rsidRPr="00F167EC" w:rsidRDefault="00F167EC" w:rsidP="00F167EC">
      <w:pPr>
        <w:jc w:val="both"/>
        <w:rPr>
          <w:rFonts w:ascii="Times New Roman" w:eastAsia="Times New Roman" w:hAnsi="Times New Roman" w:cs="Times New Roman"/>
          <w:kern w:val="0"/>
          <w:lang w:val="es-CO" w:eastAsia="es-MX"/>
          <w14:ligatures w14:val="none"/>
        </w:rPr>
      </w:pPr>
      <w:r w:rsidRPr="00F167EC">
        <w:rPr>
          <w:rFonts w:ascii="Verdana" w:eastAsia="Times New Roman" w:hAnsi="Verdana" w:cs="Times New Roman"/>
          <w:color w:val="000000"/>
          <w:kern w:val="0"/>
          <w:lang w:val="es-CO" w:eastAsia="es-MX"/>
          <w14:ligatures w14:val="none"/>
        </w:rPr>
        <w:t xml:space="preserve">Proyectó: </w:t>
      </w:r>
      <w:proofErr w:type="spellStart"/>
      <w:r w:rsidRPr="00F167EC">
        <w:rPr>
          <w:rFonts w:ascii="Verdana" w:eastAsia="Times New Roman" w:hAnsi="Verdana" w:cs="Times New Roman"/>
          <w:color w:val="000000"/>
          <w:kern w:val="0"/>
          <w:lang w:val="es-CO" w:eastAsia="es-MX"/>
          <w14:ligatures w14:val="none"/>
        </w:rPr>
        <w:t>Eduar</w:t>
      </w:r>
      <w:proofErr w:type="spellEnd"/>
      <w:r w:rsidRPr="00F167EC">
        <w:rPr>
          <w:rFonts w:ascii="Verdana" w:eastAsia="Times New Roman" w:hAnsi="Verdana" w:cs="Times New Roman"/>
          <w:color w:val="000000"/>
          <w:kern w:val="0"/>
          <w:lang w:val="es-CO" w:eastAsia="es-MX"/>
          <w14:ligatures w14:val="none"/>
        </w:rPr>
        <w:t xml:space="preserve"> Aguas Mendoza- Subdirección de Normativa y Doctrina Revisó: Alexandra Oyuela Mancera - Subdirección de Normativa y Doctrina</w:t>
      </w:r>
    </w:p>
    <w:p w14:paraId="321C9D1C" w14:textId="77777777" w:rsidR="00F167EC" w:rsidRPr="00F167EC" w:rsidRDefault="00F167EC" w:rsidP="00F167EC">
      <w:pPr>
        <w:rPr>
          <w:rFonts w:ascii="Times New Roman" w:eastAsia="Times New Roman" w:hAnsi="Times New Roman" w:cs="Times New Roman"/>
          <w:kern w:val="0"/>
          <w:lang w:val="es-CO" w:eastAsia="es-MX"/>
          <w14:ligatures w14:val="none"/>
        </w:rPr>
      </w:pPr>
    </w:p>
    <w:p w14:paraId="70899D7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61D0F"/>
    <w:multiLevelType w:val="multilevel"/>
    <w:tmpl w:val="1F80E42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AF15AF"/>
    <w:multiLevelType w:val="multilevel"/>
    <w:tmpl w:val="2878D7F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431ADB"/>
    <w:multiLevelType w:val="multilevel"/>
    <w:tmpl w:val="005406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D11AF9"/>
    <w:multiLevelType w:val="multilevel"/>
    <w:tmpl w:val="DCC051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BC5B18"/>
    <w:multiLevelType w:val="multilevel"/>
    <w:tmpl w:val="DAEE7A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C503E9"/>
    <w:multiLevelType w:val="multilevel"/>
    <w:tmpl w:val="6E3C7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47795D"/>
    <w:multiLevelType w:val="multilevel"/>
    <w:tmpl w:val="671E7A4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17692B"/>
    <w:multiLevelType w:val="multilevel"/>
    <w:tmpl w:val="B3B47A7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8508DE"/>
    <w:multiLevelType w:val="multilevel"/>
    <w:tmpl w:val="C2E2EA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DE735F6"/>
    <w:multiLevelType w:val="multilevel"/>
    <w:tmpl w:val="C04243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D41F3F"/>
    <w:multiLevelType w:val="multilevel"/>
    <w:tmpl w:val="D08879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CE3F56"/>
    <w:multiLevelType w:val="multilevel"/>
    <w:tmpl w:val="0F5829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FCF0519"/>
    <w:multiLevelType w:val="multilevel"/>
    <w:tmpl w:val="8108833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3524663">
    <w:abstractNumId w:val="5"/>
  </w:num>
  <w:num w:numId="2" w16cid:durableId="1185750047">
    <w:abstractNumId w:val="2"/>
    <w:lvlOverride w:ilvl="0">
      <w:lvl w:ilvl="0">
        <w:numFmt w:val="decimal"/>
        <w:lvlText w:val="%1."/>
        <w:lvlJc w:val="left"/>
      </w:lvl>
    </w:lvlOverride>
  </w:num>
  <w:num w:numId="3" w16cid:durableId="539706100">
    <w:abstractNumId w:val="11"/>
    <w:lvlOverride w:ilvl="0">
      <w:lvl w:ilvl="0">
        <w:numFmt w:val="decimal"/>
        <w:lvlText w:val="%1."/>
        <w:lvlJc w:val="left"/>
      </w:lvl>
    </w:lvlOverride>
  </w:num>
  <w:num w:numId="4" w16cid:durableId="1139306340">
    <w:abstractNumId w:val="1"/>
    <w:lvlOverride w:ilvl="0">
      <w:lvl w:ilvl="0">
        <w:numFmt w:val="decimal"/>
        <w:lvlText w:val="%1."/>
        <w:lvlJc w:val="left"/>
      </w:lvl>
    </w:lvlOverride>
  </w:num>
  <w:num w:numId="5" w16cid:durableId="680475777">
    <w:abstractNumId w:val="9"/>
    <w:lvlOverride w:ilvl="0">
      <w:lvl w:ilvl="0">
        <w:numFmt w:val="decimal"/>
        <w:lvlText w:val="%1."/>
        <w:lvlJc w:val="left"/>
      </w:lvl>
    </w:lvlOverride>
  </w:num>
  <w:num w:numId="6" w16cid:durableId="451751736">
    <w:abstractNumId w:val="4"/>
    <w:lvlOverride w:ilvl="0">
      <w:lvl w:ilvl="0">
        <w:numFmt w:val="decimal"/>
        <w:lvlText w:val="%1."/>
        <w:lvlJc w:val="left"/>
      </w:lvl>
    </w:lvlOverride>
  </w:num>
  <w:num w:numId="7" w16cid:durableId="2133207122">
    <w:abstractNumId w:val="6"/>
    <w:lvlOverride w:ilvl="0">
      <w:lvl w:ilvl="0">
        <w:numFmt w:val="decimal"/>
        <w:lvlText w:val="%1."/>
        <w:lvlJc w:val="left"/>
      </w:lvl>
    </w:lvlOverride>
  </w:num>
  <w:num w:numId="8" w16cid:durableId="1576284219">
    <w:abstractNumId w:val="7"/>
    <w:lvlOverride w:ilvl="0">
      <w:lvl w:ilvl="0">
        <w:numFmt w:val="decimal"/>
        <w:lvlText w:val="%1."/>
        <w:lvlJc w:val="left"/>
      </w:lvl>
    </w:lvlOverride>
  </w:num>
  <w:num w:numId="9" w16cid:durableId="119223950">
    <w:abstractNumId w:val="10"/>
    <w:lvlOverride w:ilvl="0">
      <w:lvl w:ilvl="0">
        <w:numFmt w:val="decimal"/>
        <w:lvlText w:val="%1."/>
        <w:lvlJc w:val="left"/>
      </w:lvl>
    </w:lvlOverride>
  </w:num>
  <w:num w:numId="10" w16cid:durableId="2030907718">
    <w:abstractNumId w:val="8"/>
    <w:lvlOverride w:ilvl="0">
      <w:lvl w:ilvl="0">
        <w:numFmt w:val="decimal"/>
        <w:lvlText w:val="%1."/>
        <w:lvlJc w:val="left"/>
      </w:lvl>
    </w:lvlOverride>
  </w:num>
  <w:num w:numId="11" w16cid:durableId="1043333806">
    <w:abstractNumId w:val="3"/>
    <w:lvlOverride w:ilvl="0">
      <w:lvl w:ilvl="0">
        <w:numFmt w:val="decimal"/>
        <w:lvlText w:val="%1."/>
        <w:lvlJc w:val="left"/>
      </w:lvl>
    </w:lvlOverride>
  </w:num>
  <w:num w:numId="12" w16cid:durableId="1460613304">
    <w:abstractNumId w:val="12"/>
    <w:lvlOverride w:ilvl="0">
      <w:lvl w:ilvl="0">
        <w:numFmt w:val="decimal"/>
        <w:lvlText w:val="%1."/>
        <w:lvlJc w:val="left"/>
      </w:lvl>
    </w:lvlOverride>
  </w:num>
  <w:num w:numId="13" w16cid:durableId="1896772045">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7EC"/>
    <w:rsid w:val="000B2285"/>
    <w:rsid w:val="00216E43"/>
    <w:rsid w:val="00537D8F"/>
    <w:rsid w:val="00B83A7B"/>
    <w:rsid w:val="00F167EC"/>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56FBAE8"/>
  <w14:defaultImageDpi w14:val="32767"/>
  <w15:chartTrackingRefBased/>
  <w15:docId w15:val="{5FF4D014-CF6D-A446-B147-E8A34EA56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167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167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167E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167E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167E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167E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167E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167E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167E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67E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167E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167E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167E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167E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167E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167E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167E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167EC"/>
    <w:rPr>
      <w:rFonts w:eastAsiaTheme="majorEastAsia" w:cstheme="majorBidi"/>
      <w:color w:val="272727" w:themeColor="text1" w:themeTint="D8"/>
    </w:rPr>
  </w:style>
  <w:style w:type="paragraph" w:styleId="Ttulo">
    <w:name w:val="Title"/>
    <w:basedOn w:val="Normal"/>
    <w:next w:val="Normal"/>
    <w:link w:val="TtuloCar"/>
    <w:uiPriority w:val="10"/>
    <w:qFormat/>
    <w:rsid w:val="00F167E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167E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167E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167E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167E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167EC"/>
    <w:rPr>
      <w:i/>
      <w:iCs/>
      <w:color w:val="404040" w:themeColor="text1" w:themeTint="BF"/>
    </w:rPr>
  </w:style>
  <w:style w:type="paragraph" w:styleId="Prrafodelista">
    <w:name w:val="List Paragraph"/>
    <w:basedOn w:val="Normal"/>
    <w:uiPriority w:val="34"/>
    <w:qFormat/>
    <w:rsid w:val="00F167EC"/>
    <w:pPr>
      <w:ind w:left="720"/>
      <w:contextualSpacing/>
    </w:pPr>
  </w:style>
  <w:style w:type="character" w:styleId="nfasisintenso">
    <w:name w:val="Intense Emphasis"/>
    <w:basedOn w:val="Fuentedeprrafopredeter"/>
    <w:uiPriority w:val="21"/>
    <w:qFormat/>
    <w:rsid w:val="00F167EC"/>
    <w:rPr>
      <w:i/>
      <w:iCs/>
      <w:color w:val="2F5496" w:themeColor="accent1" w:themeShade="BF"/>
    </w:rPr>
  </w:style>
  <w:style w:type="paragraph" w:styleId="Citadestacada">
    <w:name w:val="Intense Quote"/>
    <w:basedOn w:val="Normal"/>
    <w:next w:val="Normal"/>
    <w:link w:val="CitadestacadaCar"/>
    <w:uiPriority w:val="30"/>
    <w:qFormat/>
    <w:rsid w:val="00F167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167EC"/>
    <w:rPr>
      <w:i/>
      <w:iCs/>
      <w:color w:val="2F5496" w:themeColor="accent1" w:themeShade="BF"/>
    </w:rPr>
  </w:style>
  <w:style w:type="character" w:styleId="Referenciaintensa">
    <w:name w:val="Intense Reference"/>
    <w:basedOn w:val="Fuentedeprrafopredeter"/>
    <w:uiPriority w:val="32"/>
    <w:qFormat/>
    <w:rsid w:val="00F167EC"/>
    <w:rPr>
      <w:b/>
      <w:bCs/>
      <w:smallCaps/>
      <w:color w:val="2F5496" w:themeColor="accent1" w:themeShade="BF"/>
      <w:spacing w:val="5"/>
    </w:rPr>
  </w:style>
  <w:style w:type="paragraph" w:styleId="NormalWeb">
    <w:name w:val="Normal (Web)"/>
    <w:basedOn w:val="Normal"/>
    <w:uiPriority w:val="99"/>
    <w:semiHidden/>
    <w:unhideWhenUsed/>
    <w:rsid w:val="00F167EC"/>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167EC"/>
  </w:style>
  <w:style w:type="character" w:styleId="Hipervnculo">
    <w:name w:val="Hyperlink"/>
    <w:basedOn w:val="Fuentedeprrafopredeter"/>
    <w:uiPriority w:val="99"/>
    <w:semiHidden/>
    <w:unhideWhenUsed/>
    <w:rsid w:val="00F167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939</Words>
  <Characters>5170</Characters>
  <Application>Microsoft Office Word</Application>
  <DocSecurity>0</DocSecurity>
  <Lines>43</Lines>
  <Paragraphs>12</Paragraphs>
  <ScaleCrop>false</ScaleCrop>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2025-08-20T16:24:00Z</dcterms:created>
  <dcterms:modified xsi:type="dcterms:W3CDTF">2025-08-20T16:25:00Z</dcterms:modified>
</cp:coreProperties>
</file>