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BA506"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b/>
          <w:bCs/>
          <w:color w:val="000000"/>
          <w:kern w:val="0"/>
          <w:lang w:val="es-CO" w:eastAsia="es-MX"/>
          <w14:ligatures w14:val="none"/>
        </w:rPr>
        <w:t>CONCEPTO DIAN 988 DEL 3 DE JULIO DE 2025</w:t>
      </w:r>
    </w:p>
    <w:p w14:paraId="5DA68A81"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b/>
          <w:bCs/>
          <w:color w:val="000000"/>
          <w:kern w:val="0"/>
          <w:lang w:val="es-CO" w:eastAsia="es-MX"/>
          <w14:ligatures w14:val="none"/>
        </w:rPr>
        <w:t>DIRECCIÓN DE IMPUESTOS Y ADUANAS NACIONALES</w:t>
      </w:r>
    </w:p>
    <w:p w14:paraId="591C60F6" w14:textId="77777777" w:rsidR="006A7738" w:rsidRPr="006A7738" w:rsidRDefault="006A7738" w:rsidP="006A7738">
      <w:pPr>
        <w:rPr>
          <w:rFonts w:ascii="Times New Roman" w:eastAsia="Times New Roman" w:hAnsi="Times New Roman" w:cs="Times New Roman"/>
          <w:kern w:val="0"/>
          <w:lang w:val="es-CO" w:eastAsia="es-MX"/>
          <w14:ligatures w14:val="none"/>
        </w:rPr>
      </w:pPr>
    </w:p>
    <w:p w14:paraId="30C09F00"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Bogotá, D.C.,</w:t>
      </w:r>
    </w:p>
    <w:p w14:paraId="68A09079" w14:textId="77777777" w:rsidR="006A7738" w:rsidRPr="006A7738" w:rsidRDefault="006A7738" w:rsidP="006A7738">
      <w:pPr>
        <w:rPr>
          <w:rFonts w:ascii="Times New Roman" w:eastAsia="Times New Roman" w:hAnsi="Times New Roman" w:cs="Times New Roman"/>
          <w:kern w:val="0"/>
          <w:lang w:val="es-CO" w:eastAsia="es-MX"/>
          <w14:ligatures w14:val="none"/>
        </w:rPr>
      </w:pPr>
    </w:p>
    <w:p w14:paraId="72D36B1D"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b/>
          <w:bCs/>
          <w:color w:val="000000"/>
          <w:kern w:val="0"/>
          <w:lang w:val="es-CO" w:eastAsia="es-MX"/>
          <w14:ligatures w14:val="none"/>
        </w:rPr>
        <w:t>Tema:</w:t>
      </w:r>
      <w:r w:rsidRPr="006A7738">
        <w:rPr>
          <w:rFonts w:ascii="Verdana" w:eastAsia="Times New Roman" w:hAnsi="Verdana" w:cs="Times New Roman"/>
          <w:b/>
          <w:bCs/>
          <w:color w:val="000000"/>
          <w:kern w:val="0"/>
          <w:lang w:val="es-CO" w:eastAsia="es-MX"/>
          <w14:ligatures w14:val="none"/>
        </w:rPr>
        <w:tab/>
      </w:r>
      <w:r w:rsidRPr="006A7738">
        <w:rPr>
          <w:rFonts w:ascii="Verdana" w:eastAsia="Times New Roman" w:hAnsi="Verdana" w:cs="Times New Roman"/>
          <w:b/>
          <w:bCs/>
          <w:color w:val="000000"/>
          <w:kern w:val="0"/>
          <w:lang w:val="es-CO" w:eastAsia="es-MX"/>
          <w14:ligatures w14:val="none"/>
        </w:rPr>
        <w:tab/>
      </w:r>
      <w:r w:rsidRPr="006A7738">
        <w:rPr>
          <w:rFonts w:ascii="Verdana" w:eastAsia="Times New Roman" w:hAnsi="Verdana" w:cs="Times New Roman"/>
          <w:b/>
          <w:bCs/>
          <w:color w:val="000000"/>
          <w:kern w:val="0"/>
          <w:lang w:val="es-CO" w:eastAsia="es-MX"/>
          <w14:ligatures w14:val="none"/>
        </w:rPr>
        <w:tab/>
      </w:r>
      <w:r w:rsidRPr="006A7738">
        <w:rPr>
          <w:rFonts w:ascii="Verdana" w:eastAsia="Times New Roman" w:hAnsi="Verdana" w:cs="Times New Roman"/>
          <w:color w:val="000000"/>
          <w:kern w:val="0"/>
          <w:lang w:val="es-CO" w:eastAsia="es-MX"/>
          <w14:ligatures w14:val="none"/>
        </w:rPr>
        <w:t>Sistema de facturación</w:t>
      </w:r>
    </w:p>
    <w:p w14:paraId="33C12CB9"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b/>
          <w:bCs/>
          <w:color w:val="000000"/>
          <w:kern w:val="0"/>
          <w:lang w:val="es-CO" w:eastAsia="es-MX"/>
          <w14:ligatures w14:val="none"/>
        </w:rPr>
        <w:t>Descriptores:</w:t>
      </w:r>
      <w:r w:rsidRPr="006A7738">
        <w:rPr>
          <w:rFonts w:ascii="Verdana" w:eastAsia="Times New Roman" w:hAnsi="Verdana" w:cs="Times New Roman"/>
          <w:b/>
          <w:bCs/>
          <w:color w:val="000000"/>
          <w:kern w:val="0"/>
          <w:lang w:val="es-CO" w:eastAsia="es-MX"/>
          <w14:ligatures w14:val="none"/>
        </w:rPr>
        <w:tab/>
      </w:r>
      <w:r w:rsidRPr="006A7738">
        <w:rPr>
          <w:rFonts w:ascii="Verdana" w:eastAsia="Times New Roman" w:hAnsi="Verdana" w:cs="Times New Roman"/>
          <w:b/>
          <w:bCs/>
          <w:color w:val="000000"/>
          <w:kern w:val="0"/>
          <w:lang w:val="es-CO" w:eastAsia="es-MX"/>
          <w14:ligatures w14:val="none"/>
        </w:rPr>
        <w:tab/>
      </w:r>
      <w:r w:rsidRPr="006A7738">
        <w:rPr>
          <w:rFonts w:ascii="Verdana" w:eastAsia="Times New Roman" w:hAnsi="Verdana" w:cs="Times New Roman"/>
          <w:color w:val="000000"/>
          <w:kern w:val="0"/>
          <w:lang w:val="es-CO" w:eastAsia="es-MX"/>
          <w14:ligatures w14:val="none"/>
        </w:rPr>
        <w:t>Notas crédito</w:t>
      </w:r>
    </w:p>
    <w:p w14:paraId="14DD9259"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b/>
          <w:bCs/>
          <w:color w:val="000000"/>
          <w:kern w:val="0"/>
          <w:lang w:val="es-CO" w:eastAsia="es-MX"/>
          <w14:ligatures w14:val="none"/>
        </w:rPr>
        <w:t>Fuentes formales:</w:t>
      </w:r>
      <w:r w:rsidRPr="006A7738">
        <w:rPr>
          <w:rFonts w:ascii="Verdana" w:eastAsia="Times New Roman" w:hAnsi="Verdana" w:cs="Times New Roman"/>
          <w:b/>
          <w:bCs/>
          <w:color w:val="000000"/>
          <w:kern w:val="0"/>
          <w:lang w:val="es-CO" w:eastAsia="es-MX"/>
          <w14:ligatures w14:val="none"/>
        </w:rPr>
        <w:tab/>
      </w:r>
      <w:r w:rsidRPr="006A7738">
        <w:rPr>
          <w:rFonts w:ascii="Verdana" w:eastAsia="Times New Roman" w:hAnsi="Verdana" w:cs="Times New Roman"/>
          <w:color w:val="000000"/>
          <w:kern w:val="0"/>
          <w:lang w:val="es-CO" w:eastAsia="es-MX"/>
          <w14:ligatures w14:val="none"/>
        </w:rPr>
        <w:t>Artículos 1.6.1.4.1. del Decreto 1625 de 2016</w:t>
      </w:r>
    </w:p>
    <w:p w14:paraId="13440B58" w14:textId="77777777" w:rsidR="006A7738" w:rsidRPr="006A7738" w:rsidRDefault="006A7738" w:rsidP="006A7738">
      <w:pPr>
        <w:ind w:left="2880"/>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Artículos 2.2.2.53.4, 2.2.2.53.12 y 2.2.2.57.1.2. del Decreto 1074 de 2015</w:t>
      </w:r>
    </w:p>
    <w:p w14:paraId="3473EC7C" w14:textId="77777777" w:rsidR="006A7738" w:rsidRPr="006A7738" w:rsidRDefault="006A7738" w:rsidP="006A7738">
      <w:pPr>
        <w:rPr>
          <w:rFonts w:ascii="Times New Roman" w:eastAsia="Times New Roman" w:hAnsi="Times New Roman" w:cs="Times New Roman"/>
          <w:kern w:val="0"/>
          <w:lang w:val="es-CO" w:eastAsia="es-MX"/>
          <w14:ligatures w14:val="none"/>
        </w:rPr>
      </w:pPr>
    </w:p>
    <w:p w14:paraId="5E442FC1"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Cordial saludo</w:t>
      </w:r>
    </w:p>
    <w:p w14:paraId="78E8EFBA"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1B41B300" w14:textId="77777777" w:rsidR="006A7738" w:rsidRPr="006A7738" w:rsidRDefault="006A7738" w:rsidP="006A7738">
      <w:pPr>
        <w:numPr>
          <w:ilvl w:val="0"/>
          <w:numId w:val="1"/>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427CC737"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47F35602" w14:textId="77777777" w:rsidR="006A7738" w:rsidRPr="006A7738" w:rsidRDefault="006A7738" w:rsidP="006A7738">
      <w:pPr>
        <w:numPr>
          <w:ilvl w:val="0"/>
          <w:numId w:val="2"/>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Consulta sobre la generación de notas crédito de facturas electrónicas, y la falta de pago de facturas aceptadas por la no realización de estas.</w:t>
      </w:r>
    </w:p>
    <w:p w14:paraId="5D375A13" w14:textId="77777777" w:rsidR="006A7738" w:rsidRPr="006A7738" w:rsidRDefault="006A7738" w:rsidP="006A7738">
      <w:pPr>
        <w:rPr>
          <w:rFonts w:ascii="Times New Roman" w:eastAsia="Times New Roman" w:hAnsi="Times New Roman" w:cs="Times New Roman"/>
          <w:kern w:val="0"/>
          <w:lang w:val="es-CO" w:eastAsia="es-MX"/>
          <w14:ligatures w14:val="none"/>
        </w:rPr>
      </w:pPr>
    </w:p>
    <w:p w14:paraId="2F877274"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Al respecto, se considera:</w:t>
      </w:r>
    </w:p>
    <w:p w14:paraId="7A3EA707"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509A9E0B" w14:textId="77777777" w:rsidR="006A7738" w:rsidRPr="006A7738" w:rsidRDefault="006A7738" w:rsidP="006A7738">
      <w:pPr>
        <w:numPr>
          <w:ilvl w:val="0"/>
          <w:numId w:val="3"/>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De conformidad con el numeral 9 del artículo 1.6.1.4.1. del Decreto 1625 de 2016 las notas crédito son documentos electrónicos que se derivan de las operaciones de venta de bienes y/o prestación de servicios que han sido previamente facturados, asociadas o no a una factura electrónica de venta, mediante el Código Único de Factura Electrónica -CUFE cuando sea el caso, las cuales se generan por razones de tipo contable y/o fisca l, cumpliendo las condiciones, términos, mecanismos técnicos y tecnológicos que para el efecto señale la Unidad Administrativa Especial Dirección de Impuestos y Aduanas Nacionales -DIAN.</w:t>
      </w:r>
    </w:p>
    <w:p w14:paraId="56ADF86B"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6B1FF457" w14:textId="77777777" w:rsidR="006A7738" w:rsidRPr="006A7738" w:rsidRDefault="006A7738" w:rsidP="006A7738">
      <w:pPr>
        <w:numPr>
          <w:ilvl w:val="0"/>
          <w:numId w:val="4"/>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 xml:space="preserve">Frente a la procedencia de las notas crédito, la doctrina oficial de la DIAN ha indicado se pueden expedir por diversas razones de orden fiscal o contable, y que se encuentran sometidas a los procedimientos de generación, transmisión y validación y además debe cumplir con las </w:t>
      </w:r>
      <w:r w:rsidRPr="006A7738">
        <w:rPr>
          <w:rFonts w:ascii="Verdana" w:eastAsia="Times New Roman" w:hAnsi="Verdana" w:cs="Times New Roman"/>
          <w:color w:val="000000"/>
          <w:kern w:val="0"/>
          <w:lang w:val="es-CO" w:eastAsia="es-MX"/>
          <w14:ligatures w14:val="none"/>
        </w:rPr>
        <w:lastRenderedPageBreak/>
        <w:t>condiciones, términos y mecanismos técnicos y tecnológicos, de conformidad con el Anexo técnico de factura electrónica de venta.</w:t>
      </w:r>
    </w:p>
    <w:p w14:paraId="43ED94C8"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0C719B25" w14:textId="77777777" w:rsidR="006A7738" w:rsidRPr="006A7738" w:rsidRDefault="006A7738" w:rsidP="006A7738">
      <w:pPr>
        <w:numPr>
          <w:ilvl w:val="0"/>
          <w:numId w:val="5"/>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En cuanto a la oportunidad para su generación es claro en virtud de lo dispuesto en el artículo 2.2.2.53.4 del Decreto 1074 de 2015, que una vez la factura electrónica de venta haya sido aceptada no es admisible la inscripción de notas crédito respecto de ese documento.</w:t>
      </w:r>
    </w:p>
    <w:p w14:paraId="7D598FC9"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6FEE1ECF" w14:textId="77777777" w:rsidR="006A7738" w:rsidRPr="006A7738" w:rsidRDefault="006A7738" w:rsidP="006A7738">
      <w:pPr>
        <w:numPr>
          <w:ilvl w:val="0"/>
          <w:numId w:val="6"/>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En este sentido, si la factura de venta ya fue aceptada, y por ende ya puede ser objeto de negociación o circulación por constituirse en título valor, no es posible realizar notas crédito.</w:t>
      </w:r>
    </w:p>
    <w:p w14:paraId="1D20D0BB"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0EF44E35" w14:textId="77777777" w:rsidR="006A7738" w:rsidRPr="006A7738" w:rsidRDefault="006A7738" w:rsidP="006A7738">
      <w:pPr>
        <w:numPr>
          <w:ilvl w:val="0"/>
          <w:numId w:val="7"/>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En cuanto al pago de las facturas electrónicas de venta aceptadas y registradas en el RADIAN, de conformidad con el parágrafo del artículo 2.2.2.53.12 del Decreto 1074 de 2015, al vencimiento para el pago el adquirente/deudor/aceptante deberá realizar el pago al tenedor legítimo que se encuentre registrado en el RADIAN,</w:t>
      </w:r>
    </w:p>
    <w:p w14:paraId="4D690A8A"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51C62E51" w14:textId="77777777" w:rsidR="006A7738" w:rsidRPr="006A7738" w:rsidRDefault="006A7738" w:rsidP="006A7738">
      <w:pPr>
        <w:numPr>
          <w:ilvl w:val="0"/>
          <w:numId w:val="8"/>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Pagos que deberán realizarse máximo dentro del plazo señalado en el inciso 2 del artículo 3 de la Ley 2024 de 2020, es decir, 45 días contabilizados a partir de la recepción de la factura.</w:t>
      </w:r>
    </w:p>
    <w:p w14:paraId="3AEBBFA1"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0123540A" w14:textId="77777777" w:rsidR="006A7738" w:rsidRPr="006A7738" w:rsidRDefault="006A7738" w:rsidP="006A7738">
      <w:pPr>
        <w:numPr>
          <w:ilvl w:val="0"/>
          <w:numId w:val="9"/>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En virtud de las consideraciones expuestas, se concluye que la no realización de notas crédito sobre facturas ya aceptadas, no se constituye en un argumento admisible que justifique la falta de pago de las facturas electrónicas de venta.</w:t>
      </w:r>
    </w:p>
    <w:p w14:paraId="435BC139" w14:textId="77777777" w:rsidR="006A7738" w:rsidRPr="006A7738" w:rsidRDefault="006A7738" w:rsidP="006A7738">
      <w:pPr>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32108D63" w14:textId="77777777" w:rsidR="006A7738" w:rsidRPr="006A7738" w:rsidRDefault="006A7738" w:rsidP="006A7738">
      <w:pPr>
        <w:numPr>
          <w:ilvl w:val="0"/>
          <w:numId w:val="10"/>
        </w:numPr>
        <w:jc w:val="both"/>
        <w:textAlignment w:val="baseline"/>
        <w:rPr>
          <w:rFonts w:ascii="Verdana" w:eastAsia="Times New Roman" w:hAnsi="Verdana" w:cs="Times New Roman"/>
          <w:color w:val="000000"/>
          <w:kern w:val="0"/>
          <w:lang w:val="es-CO" w:eastAsia="es-MX"/>
          <w14:ligatures w14:val="none"/>
        </w:rPr>
      </w:pPr>
      <w:r w:rsidRPr="006A7738">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6A7738">
        <w:rPr>
          <w:rFonts w:ascii="Verdana" w:eastAsia="Times New Roman" w:hAnsi="Verdana" w:cs="Times New Roman"/>
          <w:color w:val="000000"/>
          <w:kern w:val="0"/>
          <w:u w:val="single"/>
          <w:lang w:val="es-CO" w:eastAsia="es-MX"/>
          <w14:ligatures w14:val="none"/>
        </w:rPr>
        <w:t>https://normograma.dian.gov.co/dian/</w:t>
      </w:r>
      <w:r w:rsidRPr="006A7738">
        <w:rPr>
          <w:rFonts w:ascii="Verdana" w:eastAsia="Times New Roman" w:hAnsi="Verdana" w:cs="Times New Roman"/>
          <w:color w:val="000000"/>
          <w:kern w:val="0"/>
          <w:lang w:val="es-CO" w:eastAsia="es-MX"/>
          <w14:ligatures w14:val="none"/>
        </w:rPr>
        <w:t>.</w:t>
      </w:r>
    </w:p>
    <w:p w14:paraId="400CE090" w14:textId="77777777" w:rsidR="006A7738" w:rsidRPr="006A7738" w:rsidRDefault="006A7738" w:rsidP="006A7738">
      <w:pPr>
        <w:spacing w:after="240"/>
        <w:rPr>
          <w:rFonts w:ascii="Times New Roman" w:eastAsia="Times New Roman" w:hAnsi="Times New Roman" w:cs="Times New Roman"/>
          <w:kern w:val="0"/>
          <w:lang w:val="es-CO" w:eastAsia="es-MX"/>
          <w14:ligatures w14:val="none"/>
        </w:rPr>
      </w:pPr>
    </w:p>
    <w:p w14:paraId="490FC6BC"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Atentamente,</w:t>
      </w:r>
    </w:p>
    <w:p w14:paraId="7D47ECA4" w14:textId="77777777" w:rsidR="006A7738" w:rsidRPr="006A7738" w:rsidRDefault="006A7738" w:rsidP="006A7738">
      <w:pPr>
        <w:spacing w:after="240"/>
        <w:rPr>
          <w:rFonts w:ascii="Times New Roman" w:eastAsia="Times New Roman" w:hAnsi="Times New Roman" w:cs="Times New Roman"/>
          <w:kern w:val="0"/>
          <w:lang w:val="es-CO" w:eastAsia="es-MX"/>
          <w14:ligatures w14:val="none"/>
        </w:rPr>
      </w:pPr>
      <w:r w:rsidRPr="006A7738">
        <w:rPr>
          <w:rFonts w:ascii="Times New Roman" w:eastAsia="Times New Roman" w:hAnsi="Times New Roman" w:cs="Times New Roman"/>
          <w:kern w:val="0"/>
          <w:lang w:val="es-CO" w:eastAsia="es-MX"/>
          <w14:ligatures w14:val="none"/>
        </w:rPr>
        <w:br/>
      </w:r>
    </w:p>
    <w:p w14:paraId="4B4E4152"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b/>
          <w:bCs/>
          <w:color w:val="000000"/>
          <w:kern w:val="0"/>
          <w:lang w:val="es-CO" w:eastAsia="es-MX"/>
          <w14:ligatures w14:val="none"/>
        </w:rPr>
        <w:t>INGRID CASTAÑEDA CEPEDA</w:t>
      </w:r>
    </w:p>
    <w:p w14:paraId="142CB64A"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lastRenderedPageBreak/>
        <w:t>Subdirectora de Normativa y Doctrina (A)</w:t>
      </w:r>
    </w:p>
    <w:p w14:paraId="125A0403"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Dirección de Gestión Jurídica</w:t>
      </w:r>
    </w:p>
    <w:p w14:paraId="22589360"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U.A.E. Dirección de Impuestos y Aduanas Nacionales – DIAN</w:t>
      </w:r>
    </w:p>
    <w:p w14:paraId="3B1A8AC3"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 xml:space="preserve">Dirección: </w:t>
      </w:r>
      <w:proofErr w:type="spellStart"/>
      <w:r w:rsidRPr="006A7738">
        <w:rPr>
          <w:rFonts w:ascii="Verdana" w:eastAsia="Times New Roman" w:hAnsi="Verdana" w:cs="Times New Roman"/>
          <w:color w:val="000000"/>
          <w:kern w:val="0"/>
          <w:lang w:val="es-CO" w:eastAsia="es-MX"/>
          <w14:ligatures w14:val="none"/>
        </w:rPr>
        <w:t>Cra</w:t>
      </w:r>
      <w:proofErr w:type="spellEnd"/>
      <w:r w:rsidRPr="006A7738">
        <w:rPr>
          <w:rFonts w:ascii="Verdana" w:eastAsia="Times New Roman" w:hAnsi="Verdana" w:cs="Times New Roman"/>
          <w:color w:val="000000"/>
          <w:kern w:val="0"/>
          <w:lang w:val="es-CO" w:eastAsia="es-MX"/>
          <w14:ligatures w14:val="none"/>
        </w:rPr>
        <w:t>. 8 # 6C-38 Edificio San Agustín - Piso 4</w:t>
      </w:r>
    </w:p>
    <w:p w14:paraId="044A4039"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lang w:val="es-CO" w:eastAsia="es-MX"/>
          <w14:ligatures w14:val="none"/>
        </w:rPr>
        <w:t>Bogotá, D.C.</w:t>
      </w:r>
    </w:p>
    <w:p w14:paraId="2F8E74F8" w14:textId="77777777" w:rsidR="006A7738" w:rsidRPr="006A7738" w:rsidRDefault="006A7738" w:rsidP="006A7738">
      <w:pPr>
        <w:jc w:val="both"/>
        <w:rPr>
          <w:rFonts w:ascii="Times New Roman" w:eastAsia="Times New Roman" w:hAnsi="Times New Roman" w:cs="Times New Roman"/>
          <w:kern w:val="0"/>
          <w:lang w:val="es-CO" w:eastAsia="es-MX"/>
          <w14:ligatures w14:val="none"/>
        </w:rPr>
      </w:pPr>
      <w:r w:rsidRPr="006A7738">
        <w:rPr>
          <w:rFonts w:ascii="Verdana" w:eastAsia="Times New Roman" w:hAnsi="Verdana" w:cs="Times New Roman"/>
          <w:color w:val="000000"/>
          <w:kern w:val="0"/>
          <w:u w:val="single"/>
          <w:lang w:val="es-CO" w:eastAsia="es-MX"/>
          <w14:ligatures w14:val="none"/>
        </w:rPr>
        <w:t>www.dian.gov.co</w:t>
      </w:r>
    </w:p>
    <w:p w14:paraId="072A12A8" w14:textId="77777777" w:rsidR="006A7738" w:rsidRPr="006A7738" w:rsidRDefault="006A7738" w:rsidP="006A7738">
      <w:pPr>
        <w:rPr>
          <w:rFonts w:ascii="Times New Roman" w:eastAsia="Times New Roman" w:hAnsi="Times New Roman" w:cs="Times New Roman"/>
          <w:kern w:val="0"/>
          <w:lang w:val="es-CO" w:eastAsia="es-MX"/>
          <w14:ligatures w14:val="none"/>
        </w:rPr>
      </w:pPr>
    </w:p>
    <w:p w14:paraId="1305D28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28F7"/>
    <w:multiLevelType w:val="multilevel"/>
    <w:tmpl w:val="92FA0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195AF3"/>
    <w:multiLevelType w:val="multilevel"/>
    <w:tmpl w:val="A656E4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580DFB"/>
    <w:multiLevelType w:val="multilevel"/>
    <w:tmpl w:val="25080EB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E13229"/>
    <w:multiLevelType w:val="multilevel"/>
    <w:tmpl w:val="054CABB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646D99"/>
    <w:multiLevelType w:val="multilevel"/>
    <w:tmpl w:val="90E401E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3961EE"/>
    <w:multiLevelType w:val="multilevel"/>
    <w:tmpl w:val="7F8485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253B43"/>
    <w:multiLevelType w:val="multilevel"/>
    <w:tmpl w:val="5EE840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646803"/>
    <w:multiLevelType w:val="multilevel"/>
    <w:tmpl w:val="1CCAC2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7320A98"/>
    <w:multiLevelType w:val="multilevel"/>
    <w:tmpl w:val="3DDA409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91C7837"/>
    <w:multiLevelType w:val="multilevel"/>
    <w:tmpl w:val="30E63A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820527">
    <w:abstractNumId w:val="0"/>
  </w:num>
  <w:num w:numId="2" w16cid:durableId="336419995">
    <w:abstractNumId w:val="6"/>
    <w:lvlOverride w:ilvl="0">
      <w:lvl w:ilvl="0">
        <w:numFmt w:val="decimal"/>
        <w:lvlText w:val="%1."/>
        <w:lvlJc w:val="left"/>
      </w:lvl>
    </w:lvlOverride>
  </w:num>
  <w:num w:numId="3" w16cid:durableId="631323891">
    <w:abstractNumId w:val="9"/>
    <w:lvlOverride w:ilvl="0">
      <w:lvl w:ilvl="0">
        <w:numFmt w:val="decimal"/>
        <w:lvlText w:val="%1."/>
        <w:lvlJc w:val="left"/>
      </w:lvl>
    </w:lvlOverride>
  </w:num>
  <w:num w:numId="4" w16cid:durableId="625159223">
    <w:abstractNumId w:val="1"/>
    <w:lvlOverride w:ilvl="0">
      <w:lvl w:ilvl="0">
        <w:numFmt w:val="decimal"/>
        <w:lvlText w:val="%1."/>
        <w:lvlJc w:val="left"/>
      </w:lvl>
    </w:lvlOverride>
  </w:num>
  <w:num w:numId="5" w16cid:durableId="2055152304">
    <w:abstractNumId w:val="5"/>
    <w:lvlOverride w:ilvl="0">
      <w:lvl w:ilvl="0">
        <w:numFmt w:val="decimal"/>
        <w:lvlText w:val="%1."/>
        <w:lvlJc w:val="left"/>
      </w:lvl>
    </w:lvlOverride>
  </w:num>
  <w:num w:numId="6" w16cid:durableId="43992257">
    <w:abstractNumId w:val="4"/>
    <w:lvlOverride w:ilvl="0">
      <w:lvl w:ilvl="0">
        <w:numFmt w:val="decimal"/>
        <w:lvlText w:val="%1."/>
        <w:lvlJc w:val="left"/>
      </w:lvl>
    </w:lvlOverride>
  </w:num>
  <w:num w:numId="7" w16cid:durableId="1328096124">
    <w:abstractNumId w:val="3"/>
    <w:lvlOverride w:ilvl="0">
      <w:lvl w:ilvl="0">
        <w:numFmt w:val="decimal"/>
        <w:lvlText w:val="%1."/>
        <w:lvlJc w:val="left"/>
      </w:lvl>
    </w:lvlOverride>
  </w:num>
  <w:num w:numId="8" w16cid:durableId="884217994">
    <w:abstractNumId w:val="2"/>
    <w:lvlOverride w:ilvl="0">
      <w:lvl w:ilvl="0">
        <w:numFmt w:val="decimal"/>
        <w:lvlText w:val="%1."/>
        <w:lvlJc w:val="left"/>
      </w:lvl>
    </w:lvlOverride>
  </w:num>
  <w:num w:numId="9" w16cid:durableId="819345772">
    <w:abstractNumId w:val="8"/>
    <w:lvlOverride w:ilvl="0">
      <w:lvl w:ilvl="0">
        <w:numFmt w:val="decimal"/>
        <w:lvlText w:val="%1."/>
        <w:lvlJc w:val="left"/>
      </w:lvl>
    </w:lvlOverride>
  </w:num>
  <w:num w:numId="10" w16cid:durableId="41516943">
    <w:abstractNumId w:val="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738"/>
    <w:rsid w:val="000B2285"/>
    <w:rsid w:val="00284D72"/>
    <w:rsid w:val="00537D8F"/>
    <w:rsid w:val="006A7738"/>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F3D8CE5"/>
  <w14:defaultImageDpi w14:val="32767"/>
  <w15:chartTrackingRefBased/>
  <w15:docId w15:val="{485D507A-F79B-AB4B-889A-5AAD9EEB4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A77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A77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A773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A773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A773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A773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A773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A773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A773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773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A773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A773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A773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A773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A773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A773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A773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A7738"/>
    <w:rPr>
      <w:rFonts w:eastAsiaTheme="majorEastAsia" w:cstheme="majorBidi"/>
      <w:color w:val="272727" w:themeColor="text1" w:themeTint="D8"/>
    </w:rPr>
  </w:style>
  <w:style w:type="paragraph" w:styleId="Ttulo">
    <w:name w:val="Title"/>
    <w:basedOn w:val="Normal"/>
    <w:next w:val="Normal"/>
    <w:link w:val="TtuloCar"/>
    <w:uiPriority w:val="10"/>
    <w:qFormat/>
    <w:rsid w:val="006A773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A773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A773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A773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A773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A7738"/>
    <w:rPr>
      <w:i/>
      <w:iCs/>
      <w:color w:val="404040" w:themeColor="text1" w:themeTint="BF"/>
    </w:rPr>
  </w:style>
  <w:style w:type="paragraph" w:styleId="Prrafodelista">
    <w:name w:val="List Paragraph"/>
    <w:basedOn w:val="Normal"/>
    <w:uiPriority w:val="34"/>
    <w:qFormat/>
    <w:rsid w:val="006A7738"/>
    <w:pPr>
      <w:ind w:left="720"/>
      <w:contextualSpacing/>
    </w:pPr>
  </w:style>
  <w:style w:type="character" w:styleId="nfasisintenso">
    <w:name w:val="Intense Emphasis"/>
    <w:basedOn w:val="Fuentedeprrafopredeter"/>
    <w:uiPriority w:val="21"/>
    <w:qFormat/>
    <w:rsid w:val="006A7738"/>
    <w:rPr>
      <w:i/>
      <w:iCs/>
      <w:color w:val="2F5496" w:themeColor="accent1" w:themeShade="BF"/>
    </w:rPr>
  </w:style>
  <w:style w:type="paragraph" w:styleId="Citadestacada">
    <w:name w:val="Intense Quote"/>
    <w:basedOn w:val="Normal"/>
    <w:next w:val="Normal"/>
    <w:link w:val="CitadestacadaCar"/>
    <w:uiPriority w:val="30"/>
    <w:qFormat/>
    <w:rsid w:val="006A77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A7738"/>
    <w:rPr>
      <w:i/>
      <w:iCs/>
      <w:color w:val="2F5496" w:themeColor="accent1" w:themeShade="BF"/>
    </w:rPr>
  </w:style>
  <w:style w:type="character" w:styleId="Referenciaintensa">
    <w:name w:val="Intense Reference"/>
    <w:basedOn w:val="Fuentedeprrafopredeter"/>
    <w:uiPriority w:val="32"/>
    <w:qFormat/>
    <w:rsid w:val="006A7738"/>
    <w:rPr>
      <w:b/>
      <w:bCs/>
      <w:smallCaps/>
      <w:color w:val="2F5496" w:themeColor="accent1" w:themeShade="BF"/>
      <w:spacing w:val="5"/>
    </w:rPr>
  </w:style>
  <w:style w:type="paragraph" w:styleId="NormalWeb">
    <w:name w:val="Normal (Web)"/>
    <w:basedOn w:val="Normal"/>
    <w:uiPriority w:val="99"/>
    <w:semiHidden/>
    <w:unhideWhenUsed/>
    <w:rsid w:val="006A773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A7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569</Words>
  <Characters>3130</Characters>
  <Application>Microsoft Office Word</Application>
  <DocSecurity>0</DocSecurity>
  <Lines>26</Lines>
  <Paragraphs>7</Paragraphs>
  <ScaleCrop>false</ScaleCrop>
  <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2025-09-25T20:13:00Z</dcterms:created>
  <dcterms:modified xsi:type="dcterms:W3CDTF">2025-09-25T20:13:00Z</dcterms:modified>
</cp:coreProperties>
</file>