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A77ED4"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b/>
          <w:bCs/>
          <w:color w:val="000000"/>
          <w:kern w:val="0"/>
          <w:lang w:val="es-CO" w:eastAsia="es-MX"/>
          <w14:ligatures w14:val="none"/>
        </w:rPr>
        <w:t>CONCEPTO 253 DEL 3 DE SEPTIEMBRE DE 2025</w:t>
      </w:r>
    </w:p>
    <w:p w14:paraId="29B973FE"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b/>
          <w:bCs/>
          <w:color w:val="000000"/>
          <w:kern w:val="0"/>
          <w:lang w:val="es-CO" w:eastAsia="es-MX"/>
          <w14:ligatures w14:val="none"/>
        </w:rPr>
        <w:t>CONSEJO TÉCNICO DE LA CONTADURÍA PÚBLICA</w:t>
      </w:r>
    </w:p>
    <w:p w14:paraId="4AA39D2E" w14:textId="77777777" w:rsidR="006F77D5" w:rsidRPr="006F77D5" w:rsidRDefault="006F77D5" w:rsidP="006F77D5">
      <w:pPr>
        <w:rPr>
          <w:rFonts w:ascii="Times New Roman" w:eastAsia="Times New Roman" w:hAnsi="Times New Roman" w:cs="Times New Roman"/>
          <w:kern w:val="0"/>
          <w:lang w:val="es-CO" w:eastAsia="es-MX"/>
          <w14:ligatures w14:val="none"/>
        </w:rPr>
      </w:pPr>
    </w:p>
    <w:p w14:paraId="01D1D99D"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color w:val="000000"/>
          <w:kern w:val="0"/>
          <w:lang w:val="es-CO" w:eastAsia="es-MX"/>
          <w14:ligatures w14:val="none"/>
        </w:rPr>
        <w:t>Bogotá, D.C.,</w:t>
      </w:r>
    </w:p>
    <w:p w14:paraId="6A95FEBA" w14:textId="77777777" w:rsidR="006F77D5" w:rsidRPr="006F77D5" w:rsidRDefault="006F77D5" w:rsidP="006F77D5">
      <w:pPr>
        <w:rPr>
          <w:rFonts w:ascii="Times New Roman" w:eastAsia="Times New Roman" w:hAnsi="Times New Roman" w:cs="Times New Roman"/>
          <w:kern w:val="0"/>
          <w:lang w:val="es-CO" w:eastAsia="es-MX"/>
          <w14:ligatures w14:val="none"/>
        </w:rPr>
      </w:pPr>
    </w:p>
    <w:p w14:paraId="175A033C"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color w:val="000000"/>
          <w:kern w:val="0"/>
          <w:lang w:val="es-CO" w:eastAsia="es-MX"/>
          <w14:ligatures w14:val="none"/>
        </w:rPr>
        <w:t>Señor (a)</w:t>
      </w:r>
    </w:p>
    <w:p w14:paraId="733AE139" w14:textId="77777777" w:rsidR="006F77D5" w:rsidRPr="006F77D5" w:rsidRDefault="006F77D5" w:rsidP="006F77D5">
      <w:pPr>
        <w:rPr>
          <w:rFonts w:ascii="Times New Roman" w:eastAsia="Times New Roman" w:hAnsi="Times New Roman" w:cs="Times New Roman"/>
          <w:kern w:val="0"/>
          <w:lang w:val="es-CO" w:eastAsia="es-MX"/>
          <w14:ligatures w14:val="none"/>
        </w:rPr>
      </w:pPr>
    </w:p>
    <w:p w14:paraId="34DF2C09"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b/>
          <w:bCs/>
          <w:color w:val="000000"/>
          <w:kern w:val="0"/>
          <w:lang w:val="es-CO" w:eastAsia="es-MX"/>
          <w14:ligatures w14:val="none"/>
        </w:rPr>
        <w:t>Referencia</w:t>
      </w:r>
    </w:p>
    <w:p w14:paraId="70A9377F"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b/>
          <w:bCs/>
          <w:color w:val="000000"/>
          <w:kern w:val="0"/>
          <w:lang w:val="es-CO" w:eastAsia="es-MX"/>
          <w14:ligatures w14:val="none"/>
        </w:rPr>
        <w:t>No. del Radicado</w:t>
      </w:r>
      <w:r w:rsidRPr="006F77D5">
        <w:rPr>
          <w:rFonts w:ascii="Verdana" w:eastAsia="Times New Roman" w:hAnsi="Verdana" w:cs="Times New Roman"/>
          <w:b/>
          <w:bCs/>
          <w:color w:val="000000"/>
          <w:kern w:val="0"/>
          <w:lang w:val="es-CO" w:eastAsia="es-MX"/>
          <w14:ligatures w14:val="none"/>
        </w:rPr>
        <w:tab/>
      </w:r>
      <w:r w:rsidRPr="006F77D5">
        <w:rPr>
          <w:rFonts w:ascii="Verdana" w:eastAsia="Times New Roman" w:hAnsi="Verdana" w:cs="Times New Roman"/>
          <w:b/>
          <w:bCs/>
          <w:color w:val="000000"/>
          <w:kern w:val="0"/>
          <w:lang w:val="es-CO" w:eastAsia="es-MX"/>
          <w14:ligatures w14:val="none"/>
        </w:rPr>
        <w:tab/>
      </w:r>
      <w:r w:rsidRPr="006F77D5">
        <w:rPr>
          <w:rFonts w:ascii="Verdana" w:eastAsia="Times New Roman" w:hAnsi="Verdana" w:cs="Times New Roman"/>
          <w:color w:val="000000"/>
          <w:kern w:val="0"/>
          <w:lang w:val="es-CO" w:eastAsia="es-MX"/>
          <w14:ligatures w14:val="none"/>
        </w:rPr>
        <w:t>1-2025-029545</w:t>
      </w:r>
    </w:p>
    <w:p w14:paraId="26C3085C"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b/>
          <w:bCs/>
          <w:color w:val="000000"/>
          <w:kern w:val="0"/>
          <w:lang w:val="es-CO" w:eastAsia="es-MX"/>
          <w14:ligatures w14:val="none"/>
        </w:rPr>
        <w:t>Fecha de Radicado</w:t>
      </w:r>
      <w:r w:rsidRPr="006F77D5">
        <w:rPr>
          <w:rFonts w:ascii="Verdana" w:eastAsia="Times New Roman" w:hAnsi="Verdana" w:cs="Times New Roman"/>
          <w:b/>
          <w:bCs/>
          <w:color w:val="000000"/>
          <w:kern w:val="0"/>
          <w:lang w:val="es-CO" w:eastAsia="es-MX"/>
          <w14:ligatures w14:val="none"/>
        </w:rPr>
        <w:tab/>
      </w:r>
      <w:r w:rsidRPr="006F77D5">
        <w:rPr>
          <w:rFonts w:ascii="Verdana" w:eastAsia="Times New Roman" w:hAnsi="Verdana" w:cs="Times New Roman"/>
          <w:b/>
          <w:bCs/>
          <w:color w:val="000000"/>
          <w:kern w:val="0"/>
          <w:lang w:val="es-CO" w:eastAsia="es-MX"/>
          <w14:ligatures w14:val="none"/>
        </w:rPr>
        <w:tab/>
      </w:r>
      <w:r w:rsidRPr="006F77D5">
        <w:rPr>
          <w:rFonts w:ascii="Verdana" w:eastAsia="Times New Roman" w:hAnsi="Verdana" w:cs="Times New Roman"/>
          <w:color w:val="000000"/>
          <w:kern w:val="0"/>
          <w:lang w:val="es-CO" w:eastAsia="es-MX"/>
          <w14:ligatures w14:val="none"/>
        </w:rPr>
        <w:t>03 de septiembre de 2025</w:t>
      </w:r>
    </w:p>
    <w:p w14:paraId="2324899D"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b/>
          <w:bCs/>
          <w:color w:val="000000"/>
          <w:kern w:val="0"/>
          <w:lang w:val="es-CO" w:eastAsia="es-MX"/>
          <w14:ligatures w14:val="none"/>
        </w:rPr>
        <w:t>N.º de Radicación CTCP</w:t>
      </w:r>
      <w:r w:rsidRPr="006F77D5">
        <w:rPr>
          <w:rFonts w:ascii="Verdana" w:eastAsia="Times New Roman" w:hAnsi="Verdana" w:cs="Times New Roman"/>
          <w:b/>
          <w:bCs/>
          <w:color w:val="000000"/>
          <w:kern w:val="0"/>
          <w:lang w:val="es-CO" w:eastAsia="es-MX"/>
          <w14:ligatures w14:val="none"/>
        </w:rPr>
        <w:tab/>
      </w:r>
      <w:r w:rsidRPr="006F77D5">
        <w:rPr>
          <w:rFonts w:ascii="Verdana" w:eastAsia="Times New Roman" w:hAnsi="Verdana" w:cs="Times New Roman"/>
          <w:color w:val="000000"/>
          <w:kern w:val="0"/>
          <w:lang w:val="es-CO" w:eastAsia="es-MX"/>
          <w14:ligatures w14:val="none"/>
        </w:rPr>
        <w:t>2025-0253</w:t>
      </w:r>
    </w:p>
    <w:p w14:paraId="4BC01DDB" w14:textId="77777777" w:rsidR="006F77D5" w:rsidRPr="006F77D5" w:rsidRDefault="006F77D5" w:rsidP="006F77D5">
      <w:pPr>
        <w:ind w:hanging="3600"/>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b/>
          <w:bCs/>
          <w:color w:val="000000"/>
          <w:kern w:val="0"/>
          <w:lang w:val="es-CO" w:eastAsia="es-MX"/>
          <w14:ligatures w14:val="none"/>
        </w:rPr>
        <w:t>Tema</w:t>
      </w:r>
      <w:r w:rsidRPr="006F77D5">
        <w:rPr>
          <w:rFonts w:ascii="Verdana" w:eastAsia="Times New Roman" w:hAnsi="Verdana" w:cs="Times New Roman"/>
          <w:b/>
          <w:bCs/>
          <w:color w:val="000000"/>
          <w:kern w:val="0"/>
          <w:lang w:val="es-CO" w:eastAsia="es-MX"/>
          <w14:ligatures w14:val="none"/>
        </w:rPr>
        <w:tab/>
      </w:r>
      <w:r w:rsidRPr="006F77D5">
        <w:rPr>
          <w:rFonts w:ascii="Verdana" w:eastAsia="Times New Roman" w:hAnsi="Verdana" w:cs="Times New Roman"/>
          <w:color w:val="000000"/>
          <w:kern w:val="0"/>
          <w:lang w:val="es-CO" w:eastAsia="es-MX"/>
          <w14:ligatures w14:val="none"/>
        </w:rPr>
        <w:t>Obligatoriedad legal de dictaminar estados financieros</w:t>
      </w:r>
    </w:p>
    <w:p w14:paraId="244641E3" w14:textId="77777777" w:rsidR="006F77D5" w:rsidRPr="006F77D5" w:rsidRDefault="006F77D5" w:rsidP="006F77D5">
      <w:pPr>
        <w:rPr>
          <w:rFonts w:ascii="Times New Roman" w:eastAsia="Times New Roman" w:hAnsi="Times New Roman" w:cs="Times New Roman"/>
          <w:kern w:val="0"/>
          <w:lang w:val="es-CO" w:eastAsia="es-MX"/>
          <w14:ligatures w14:val="none"/>
        </w:rPr>
      </w:pPr>
    </w:p>
    <w:p w14:paraId="365A6773"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b/>
          <w:bCs/>
          <w:color w:val="000000"/>
          <w:kern w:val="0"/>
          <w:lang w:val="es-CO" w:eastAsia="es-MX"/>
          <w14:ligatures w14:val="none"/>
        </w:rPr>
        <w:t>CONSULTA (TEXTUAL)</w:t>
      </w:r>
    </w:p>
    <w:p w14:paraId="453F7347" w14:textId="77777777" w:rsidR="006F77D5" w:rsidRPr="006F77D5" w:rsidRDefault="006F77D5" w:rsidP="006F77D5">
      <w:pPr>
        <w:rPr>
          <w:rFonts w:ascii="Times New Roman" w:eastAsia="Times New Roman" w:hAnsi="Times New Roman" w:cs="Times New Roman"/>
          <w:kern w:val="0"/>
          <w:lang w:val="es-CO" w:eastAsia="es-MX"/>
          <w14:ligatures w14:val="none"/>
        </w:rPr>
      </w:pPr>
    </w:p>
    <w:p w14:paraId="2E365617"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i/>
          <w:iCs/>
          <w:color w:val="000000"/>
          <w:kern w:val="0"/>
          <w:sz w:val="22"/>
          <w:szCs w:val="22"/>
          <w:lang w:val="es-CO" w:eastAsia="es-MX"/>
          <w14:ligatures w14:val="none"/>
        </w:rPr>
        <w:t>“(…)</w:t>
      </w:r>
    </w:p>
    <w:p w14:paraId="75918E63" w14:textId="77777777" w:rsidR="006F77D5" w:rsidRPr="006F77D5" w:rsidRDefault="006F77D5" w:rsidP="006F77D5">
      <w:pPr>
        <w:rPr>
          <w:rFonts w:ascii="Times New Roman" w:eastAsia="Times New Roman" w:hAnsi="Times New Roman" w:cs="Times New Roman"/>
          <w:kern w:val="0"/>
          <w:lang w:val="es-CO" w:eastAsia="es-MX"/>
          <w14:ligatures w14:val="none"/>
        </w:rPr>
      </w:pPr>
    </w:p>
    <w:p w14:paraId="6C106A97"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i/>
          <w:iCs/>
          <w:color w:val="000000"/>
          <w:kern w:val="0"/>
          <w:sz w:val="22"/>
          <w:szCs w:val="22"/>
          <w:lang w:val="es-CO" w:eastAsia="es-MX"/>
          <w14:ligatures w14:val="none"/>
        </w:rPr>
        <w:t xml:space="preserve">Es valida (sic) o no la interpretación que los documentos que conforman los estados financieros como son ESTADO DE RESULTADOS (sic), ESTADO DE RESULTADOS y NOTAS A LOS ESTADOS FINANCIEROS, para personas naturales y jurídicas (no obligadas a tener revisor fiscal) deben venir firmados por la persona natural o representante legal, el Contador que preparo (sic) los estados financieros y adicionalmente deben firmarlos el CONTADOR PUBLICO INDEPENDIENTE, o por el contrario simplemente con la entrega del documento denominado CERTIFICACIÓN Y DICTAMEN DE LOS ESTADOS FINANCIEROS suscrito por el Contador </w:t>
      </w:r>
      <w:proofErr w:type="spellStart"/>
      <w:r w:rsidRPr="006F77D5">
        <w:rPr>
          <w:rFonts w:ascii="Verdana" w:eastAsia="Times New Roman" w:hAnsi="Verdana" w:cs="Times New Roman"/>
          <w:i/>
          <w:iCs/>
          <w:color w:val="000000"/>
          <w:kern w:val="0"/>
          <w:sz w:val="22"/>
          <w:szCs w:val="22"/>
          <w:lang w:val="es-CO" w:eastAsia="es-MX"/>
          <w14:ligatures w14:val="none"/>
        </w:rPr>
        <w:t>Publico</w:t>
      </w:r>
      <w:proofErr w:type="spellEnd"/>
      <w:r w:rsidRPr="006F77D5">
        <w:rPr>
          <w:rFonts w:ascii="Verdana" w:eastAsia="Times New Roman" w:hAnsi="Verdana" w:cs="Times New Roman"/>
          <w:i/>
          <w:iCs/>
          <w:color w:val="000000"/>
          <w:kern w:val="0"/>
          <w:sz w:val="22"/>
          <w:szCs w:val="22"/>
          <w:lang w:val="es-CO" w:eastAsia="es-MX"/>
          <w14:ligatures w14:val="none"/>
        </w:rPr>
        <w:t xml:space="preserve"> Independiente se cumple lo normado en el artículo 38 de la ley 222 de 1995.</w:t>
      </w:r>
    </w:p>
    <w:p w14:paraId="4CD62202" w14:textId="77777777" w:rsidR="006F77D5" w:rsidRPr="006F77D5" w:rsidRDefault="006F77D5" w:rsidP="006F77D5">
      <w:pPr>
        <w:rPr>
          <w:rFonts w:ascii="Times New Roman" w:eastAsia="Times New Roman" w:hAnsi="Times New Roman" w:cs="Times New Roman"/>
          <w:kern w:val="0"/>
          <w:lang w:val="es-CO" w:eastAsia="es-MX"/>
          <w14:ligatures w14:val="none"/>
        </w:rPr>
      </w:pPr>
    </w:p>
    <w:p w14:paraId="4DE38A02"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i/>
          <w:iCs/>
          <w:color w:val="000000"/>
          <w:kern w:val="0"/>
          <w:sz w:val="22"/>
          <w:szCs w:val="22"/>
          <w:lang w:val="es-CO" w:eastAsia="es-MX"/>
          <w14:ligatures w14:val="none"/>
        </w:rPr>
        <w:t>(…)”</w:t>
      </w:r>
    </w:p>
    <w:p w14:paraId="2D323C0E" w14:textId="77777777" w:rsidR="006F77D5" w:rsidRPr="006F77D5" w:rsidRDefault="006F77D5" w:rsidP="006F77D5">
      <w:pPr>
        <w:rPr>
          <w:rFonts w:ascii="Times New Roman" w:eastAsia="Times New Roman" w:hAnsi="Times New Roman" w:cs="Times New Roman"/>
          <w:kern w:val="0"/>
          <w:lang w:val="es-CO" w:eastAsia="es-MX"/>
          <w14:ligatures w14:val="none"/>
        </w:rPr>
      </w:pPr>
    </w:p>
    <w:p w14:paraId="7B36A9F1"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b/>
          <w:bCs/>
          <w:color w:val="000000"/>
          <w:kern w:val="0"/>
          <w:lang w:val="es-CO" w:eastAsia="es-MX"/>
          <w14:ligatures w14:val="none"/>
        </w:rPr>
        <w:t>RESUMEN:</w:t>
      </w:r>
    </w:p>
    <w:p w14:paraId="7B227FFA" w14:textId="77777777" w:rsidR="006F77D5" w:rsidRPr="006F77D5" w:rsidRDefault="006F77D5" w:rsidP="006F77D5">
      <w:pPr>
        <w:rPr>
          <w:rFonts w:ascii="Times New Roman" w:eastAsia="Times New Roman" w:hAnsi="Times New Roman" w:cs="Times New Roman"/>
          <w:kern w:val="0"/>
          <w:lang w:val="es-CO" w:eastAsia="es-MX"/>
          <w14:ligatures w14:val="none"/>
        </w:rPr>
      </w:pPr>
    </w:p>
    <w:p w14:paraId="75949C91"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color w:val="000000"/>
          <w:kern w:val="0"/>
          <w:lang w:val="es-CO" w:eastAsia="es-MX"/>
          <w14:ligatures w14:val="none"/>
        </w:rPr>
        <w:t>De conformidad con lo dispuesto en los artículos 37 y 38 de la Ley 222 de 1995, los estados financieros deben ser firmados por el representante legal y el contador público (certificados), y, cuando corresponda, por el revisor fiscal o en su defecto, contador público independiente (dictaminados).</w:t>
      </w:r>
    </w:p>
    <w:p w14:paraId="61476587" w14:textId="77777777" w:rsidR="006F77D5" w:rsidRPr="006F77D5" w:rsidRDefault="006F77D5" w:rsidP="006F77D5">
      <w:pPr>
        <w:rPr>
          <w:rFonts w:ascii="Times New Roman" w:eastAsia="Times New Roman" w:hAnsi="Times New Roman" w:cs="Times New Roman"/>
          <w:kern w:val="0"/>
          <w:lang w:val="es-CO" w:eastAsia="es-MX"/>
          <w14:ligatures w14:val="none"/>
        </w:rPr>
      </w:pPr>
    </w:p>
    <w:p w14:paraId="0B0ED9D1"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color w:val="000000"/>
          <w:kern w:val="0"/>
          <w:lang w:val="es-CO" w:eastAsia="es-MX"/>
          <w14:ligatures w14:val="none"/>
        </w:rPr>
        <w:t>No se observa norma expresa para quienes no están sujetos a tener revisoría fiscal de presentar estados financieros dictaminados.</w:t>
      </w:r>
    </w:p>
    <w:p w14:paraId="53C6DE5F" w14:textId="77777777" w:rsidR="006F77D5" w:rsidRPr="006F77D5" w:rsidRDefault="006F77D5" w:rsidP="006F77D5">
      <w:pPr>
        <w:rPr>
          <w:rFonts w:ascii="Times New Roman" w:eastAsia="Times New Roman" w:hAnsi="Times New Roman" w:cs="Times New Roman"/>
          <w:kern w:val="0"/>
          <w:lang w:val="es-CO" w:eastAsia="es-MX"/>
          <w14:ligatures w14:val="none"/>
        </w:rPr>
      </w:pPr>
    </w:p>
    <w:p w14:paraId="0F4DCC3D"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b/>
          <w:bCs/>
          <w:color w:val="000000"/>
          <w:kern w:val="0"/>
          <w:lang w:val="es-CO" w:eastAsia="es-MX"/>
          <w14:ligatures w14:val="none"/>
        </w:rPr>
        <w:t>CONSIDERACIONES Y CONCEPTO</w:t>
      </w:r>
    </w:p>
    <w:p w14:paraId="36A0FEF3" w14:textId="77777777" w:rsidR="006F77D5" w:rsidRPr="006F77D5" w:rsidRDefault="006F77D5" w:rsidP="006F77D5">
      <w:pPr>
        <w:rPr>
          <w:rFonts w:ascii="Times New Roman" w:eastAsia="Times New Roman" w:hAnsi="Times New Roman" w:cs="Times New Roman"/>
          <w:kern w:val="0"/>
          <w:lang w:val="es-CO" w:eastAsia="es-MX"/>
          <w14:ligatures w14:val="none"/>
        </w:rPr>
      </w:pPr>
    </w:p>
    <w:p w14:paraId="5961925B"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color w:val="000000"/>
          <w:kern w:val="0"/>
          <w:lang w:val="es-CO" w:eastAsia="es-MX"/>
          <w14:ligatures w14:val="none"/>
        </w:rPr>
        <w:t xml:space="preserve">El Consejo Técnico de la Contaduría Pública (CTCP), en su calidad de organismo permanente de normalización técnica de Normas de Contabilidad, Información Financiera y Aseguramiento de la Información, </w:t>
      </w:r>
      <w:r w:rsidRPr="006F77D5">
        <w:rPr>
          <w:rFonts w:ascii="Verdana" w:eastAsia="Times New Roman" w:hAnsi="Verdana" w:cs="Times New Roman"/>
          <w:color w:val="000000"/>
          <w:kern w:val="0"/>
          <w:lang w:val="es-CO" w:eastAsia="es-MX"/>
          <w14:ligatures w14:val="none"/>
        </w:rPr>
        <w:lastRenderedPageBreak/>
        <w:t>adscrito al Ministerio de Comercio, Industria y Turismo, y conforme a las disposiciones legales vigentes, principalmente las contempladas en la Ley 43 de 1990, la Ley 1314 de 2009 y los decretos que las desarrollan, procede a dar respuesta a la consulta de manera general, sin pretender resolver casos particulares, en los siguientes términos:</w:t>
      </w:r>
    </w:p>
    <w:p w14:paraId="0F38A459" w14:textId="77777777" w:rsidR="006F77D5" w:rsidRPr="006F77D5" w:rsidRDefault="006F77D5" w:rsidP="006F77D5">
      <w:pPr>
        <w:rPr>
          <w:rFonts w:ascii="Times New Roman" w:eastAsia="Times New Roman" w:hAnsi="Times New Roman" w:cs="Times New Roman"/>
          <w:kern w:val="0"/>
          <w:lang w:val="es-CO" w:eastAsia="es-MX"/>
          <w14:ligatures w14:val="none"/>
        </w:rPr>
      </w:pPr>
      <w:r w:rsidRPr="006F77D5">
        <w:rPr>
          <w:rFonts w:ascii="Times New Roman" w:eastAsia="Times New Roman" w:hAnsi="Times New Roman" w:cs="Times New Roman"/>
          <w:kern w:val="0"/>
          <w:lang w:val="es-CO" w:eastAsia="es-MX"/>
          <w14:ligatures w14:val="none"/>
        </w:rPr>
        <w:br/>
      </w:r>
    </w:p>
    <w:p w14:paraId="0B05A468" w14:textId="77777777" w:rsidR="006F77D5" w:rsidRPr="006F77D5" w:rsidRDefault="006F77D5" w:rsidP="006F77D5">
      <w:pPr>
        <w:numPr>
          <w:ilvl w:val="0"/>
          <w:numId w:val="1"/>
        </w:numPr>
        <w:jc w:val="both"/>
        <w:textAlignment w:val="baseline"/>
        <w:rPr>
          <w:rFonts w:ascii="Verdana" w:eastAsia="Times New Roman" w:hAnsi="Verdana" w:cs="Times New Roman"/>
          <w:color w:val="000000"/>
          <w:kern w:val="0"/>
          <w:lang w:val="es-CO" w:eastAsia="es-MX"/>
          <w14:ligatures w14:val="none"/>
        </w:rPr>
      </w:pPr>
      <w:r w:rsidRPr="006F77D5">
        <w:rPr>
          <w:rFonts w:ascii="Verdana" w:eastAsia="Times New Roman" w:hAnsi="Verdana" w:cs="Times New Roman"/>
          <w:b/>
          <w:bCs/>
          <w:color w:val="000000"/>
          <w:kern w:val="0"/>
          <w:lang w:val="es-CO" w:eastAsia="es-MX"/>
          <w14:ligatures w14:val="none"/>
        </w:rPr>
        <w:t xml:space="preserve">Artículo 37 </w:t>
      </w:r>
      <w:r w:rsidRPr="006F77D5">
        <w:rPr>
          <w:rFonts w:ascii="Verdana" w:eastAsia="Times New Roman" w:hAnsi="Verdana" w:cs="Times New Roman"/>
          <w:b/>
          <w:bCs/>
          <w:color w:val="000000"/>
          <w:kern w:val="0"/>
          <w:u w:val="single"/>
          <w:lang w:val="es-CO" w:eastAsia="es-MX"/>
          <w14:ligatures w14:val="none"/>
        </w:rPr>
        <w:t>Ley 222 de 1995</w:t>
      </w:r>
      <w:r w:rsidRPr="006F77D5">
        <w:rPr>
          <w:rFonts w:ascii="Verdana" w:eastAsia="Times New Roman" w:hAnsi="Verdana" w:cs="Times New Roman"/>
          <w:b/>
          <w:bCs/>
          <w:color w:val="000000"/>
          <w:kern w:val="0"/>
          <w:lang w:val="es-CO" w:eastAsia="es-MX"/>
          <w14:ligatures w14:val="none"/>
        </w:rPr>
        <w:t xml:space="preserve">. </w:t>
      </w:r>
      <w:r w:rsidRPr="006F77D5">
        <w:rPr>
          <w:rFonts w:ascii="Verdana" w:eastAsia="Times New Roman" w:hAnsi="Verdana" w:cs="Times New Roman"/>
          <w:color w:val="000000"/>
          <w:kern w:val="0"/>
          <w:lang w:val="es-CO" w:eastAsia="es-MX"/>
          <w14:ligatures w14:val="none"/>
        </w:rPr>
        <w:t>ESTADOS FINANCIEROS CERTIFICADOS.</w:t>
      </w:r>
    </w:p>
    <w:p w14:paraId="7280D47D" w14:textId="77777777" w:rsidR="006F77D5" w:rsidRPr="006F77D5" w:rsidRDefault="006F77D5" w:rsidP="006F77D5">
      <w:pPr>
        <w:rPr>
          <w:rFonts w:ascii="Times New Roman" w:eastAsia="Times New Roman" w:hAnsi="Times New Roman" w:cs="Times New Roman"/>
          <w:kern w:val="0"/>
          <w:lang w:val="es-CO" w:eastAsia="es-MX"/>
          <w14:ligatures w14:val="none"/>
        </w:rPr>
      </w:pPr>
    </w:p>
    <w:p w14:paraId="5364ADC7"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i/>
          <w:iCs/>
          <w:color w:val="000000"/>
          <w:kern w:val="0"/>
          <w:sz w:val="22"/>
          <w:szCs w:val="22"/>
          <w:lang w:val="es-CO" w:eastAsia="es-MX"/>
          <w14:ligatures w14:val="none"/>
        </w:rPr>
        <w:t xml:space="preserve">“El representante legal y el contador público bajo cuya responsabilidad se hubiesen preparado los estados financieros deberán certificar aquellos que se pongan a disposición de los asociados o de terceros. </w:t>
      </w:r>
      <w:r w:rsidRPr="006F77D5">
        <w:rPr>
          <w:rFonts w:ascii="Verdana" w:eastAsia="Times New Roman" w:hAnsi="Verdana" w:cs="Times New Roman"/>
          <w:i/>
          <w:iCs/>
          <w:color w:val="000000"/>
          <w:kern w:val="0"/>
          <w:sz w:val="22"/>
          <w:szCs w:val="22"/>
          <w:u w:val="single"/>
          <w:lang w:val="es-CO" w:eastAsia="es-MX"/>
          <w14:ligatures w14:val="none"/>
        </w:rPr>
        <w:t>La certificación consiste en declarar que se han verificado previamente las afirmaciones contenidas en ellos, conforme al reglamento, y que las mismas se han tomado fielmente de los libros”.</w:t>
      </w:r>
      <w:r w:rsidRPr="006F77D5">
        <w:rPr>
          <w:rFonts w:ascii="Verdana" w:eastAsia="Times New Roman" w:hAnsi="Verdana" w:cs="Times New Roman"/>
          <w:i/>
          <w:iCs/>
          <w:color w:val="000000"/>
          <w:kern w:val="0"/>
          <w:sz w:val="22"/>
          <w:szCs w:val="22"/>
          <w:lang w:val="es-CO" w:eastAsia="es-MX"/>
          <w14:ligatures w14:val="none"/>
        </w:rPr>
        <w:t xml:space="preserve"> Subrayado fuera de texto original.</w:t>
      </w:r>
    </w:p>
    <w:p w14:paraId="586B9A8F" w14:textId="77777777" w:rsidR="006F77D5" w:rsidRPr="006F77D5" w:rsidRDefault="006F77D5" w:rsidP="006F77D5">
      <w:pPr>
        <w:rPr>
          <w:rFonts w:ascii="Times New Roman" w:eastAsia="Times New Roman" w:hAnsi="Times New Roman" w:cs="Times New Roman"/>
          <w:kern w:val="0"/>
          <w:lang w:val="es-CO" w:eastAsia="es-MX"/>
          <w14:ligatures w14:val="none"/>
        </w:rPr>
      </w:pPr>
      <w:r w:rsidRPr="006F77D5">
        <w:rPr>
          <w:rFonts w:ascii="Times New Roman" w:eastAsia="Times New Roman" w:hAnsi="Times New Roman" w:cs="Times New Roman"/>
          <w:kern w:val="0"/>
          <w:lang w:val="es-CO" w:eastAsia="es-MX"/>
          <w14:ligatures w14:val="none"/>
        </w:rPr>
        <w:br/>
      </w:r>
    </w:p>
    <w:p w14:paraId="3315560A" w14:textId="77777777" w:rsidR="006F77D5" w:rsidRPr="006F77D5" w:rsidRDefault="006F77D5" w:rsidP="006F77D5">
      <w:pPr>
        <w:numPr>
          <w:ilvl w:val="0"/>
          <w:numId w:val="2"/>
        </w:numPr>
        <w:jc w:val="both"/>
        <w:textAlignment w:val="baseline"/>
        <w:rPr>
          <w:rFonts w:ascii="Verdana" w:eastAsia="Times New Roman" w:hAnsi="Verdana" w:cs="Times New Roman"/>
          <w:color w:val="000000"/>
          <w:kern w:val="0"/>
          <w:lang w:val="es-CO" w:eastAsia="es-MX"/>
          <w14:ligatures w14:val="none"/>
        </w:rPr>
      </w:pPr>
      <w:r w:rsidRPr="006F77D5">
        <w:rPr>
          <w:rFonts w:ascii="Verdana" w:eastAsia="Times New Roman" w:hAnsi="Verdana" w:cs="Times New Roman"/>
          <w:b/>
          <w:bCs/>
          <w:color w:val="000000"/>
          <w:kern w:val="0"/>
          <w:lang w:val="es-CO" w:eastAsia="es-MX"/>
          <w14:ligatures w14:val="none"/>
        </w:rPr>
        <w:t xml:space="preserve">Artículo 38 </w:t>
      </w:r>
      <w:r w:rsidRPr="006F77D5">
        <w:rPr>
          <w:rFonts w:ascii="Verdana" w:eastAsia="Times New Roman" w:hAnsi="Verdana" w:cs="Times New Roman"/>
          <w:b/>
          <w:bCs/>
          <w:color w:val="000000"/>
          <w:kern w:val="0"/>
          <w:u w:val="single"/>
          <w:lang w:val="es-CO" w:eastAsia="es-MX"/>
          <w14:ligatures w14:val="none"/>
        </w:rPr>
        <w:t>Ley 222 de 1995</w:t>
      </w:r>
      <w:r w:rsidRPr="006F77D5">
        <w:rPr>
          <w:rFonts w:ascii="Verdana" w:eastAsia="Times New Roman" w:hAnsi="Verdana" w:cs="Times New Roman"/>
          <w:b/>
          <w:bCs/>
          <w:color w:val="000000"/>
          <w:kern w:val="0"/>
          <w:lang w:val="es-CO" w:eastAsia="es-MX"/>
          <w14:ligatures w14:val="none"/>
        </w:rPr>
        <w:t xml:space="preserve">. </w:t>
      </w:r>
      <w:r w:rsidRPr="006F77D5">
        <w:rPr>
          <w:rFonts w:ascii="Verdana" w:eastAsia="Times New Roman" w:hAnsi="Verdana" w:cs="Times New Roman"/>
          <w:color w:val="000000"/>
          <w:kern w:val="0"/>
          <w:lang w:val="es-CO" w:eastAsia="es-MX"/>
          <w14:ligatures w14:val="none"/>
        </w:rPr>
        <w:t>ESTADOS FINANCIEROS DICTAMINADOS.</w:t>
      </w:r>
    </w:p>
    <w:p w14:paraId="54927B4C" w14:textId="77777777" w:rsidR="006F77D5" w:rsidRPr="006F77D5" w:rsidRDefault="006F77D5" w:rsidP="006F77D5">
      <w:pPr>
        <w:rPr>
          <w:rFonts w:ascii="Times New Roman" w:eastAsia="Times New Roman" w:hAnsi="Times New Roman" w:cs="Times New Roman"/>
          <w:kern w:val="0"/>
          <w:lang w:val="es-CO" w:eastAsia="es-MX"/>
          <w14:ligatures w14:val="none"/>
        </w:rPr>
      </w:pPr>
    </w:p>
    <w:p w14:paraId="1290FF42"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i/>
          <w:iCs/>
          <w:color w:val="000000"/>
          <w:kern w:val="0"/>
          <w:sz w:val="22"/>
          <w:szCs w:val="22"/>
          <w:lang w:val="es-CO" w:eastAsia="es-MX"/>
          <w14:ligatures w14:val="none"/>
        </w:rPr>
        <w:t xml:space="preserve">“Son dictaminados aquellos estados financieros certificados que se acompañen de la </w:t>
      </w:r>
      <w:r w:rsidRPr="006F77D5">
        <w:rPr>
          <w:rFonts w:ascii="Verdana" w:eastAsia="Times New Roman" w:hAnsi="Verdana" w:cs="Times New Roman"/>
          <w:i/>
          <w:iCs/>
          <w:color w:val="000000"/>
          <w:kern w:val="0"/>
          <w:sz w:val="22"/>
          <w:szCs w:val="22"/>
          <w:u w:val="single"/>
          <w:lang w:val="es-CO" w:eastAsia="es-MX"/>
          <w14:ligatures w14:val="none"/>
        </w:rPr>
        <w:t>opinión profesional del revisor fiscal o, a falta de éste, del contador público independiente que los hubiere examinado de conformidad con las normas de auditoría generalmente aceptadas”.</w:t>
      </w:r>
    </w:p>
    <w:p w14:paraId="5F9D48FD" w14:textId="77777777" w:rsidR="006F77D5" w:rsidRPr="006F77D5" w:rsidRDefault="006F77D5" w:rsidP="006F77D5">
      <w:pPr>
        <w:rPr>
          <w:rFonts w:ascii="Times New Roman" w:eastAsia="Times New Roman" w:hAnsi="Times New Roman" w:cs="Times New Roman"/>
          <w:kern w:val="0"/>
          <w:lang w:val="es-CO" w:eastAsia="es-MX"/>
          <w14:ligatures w14:val="none"/>
        </w:rPr>
      </w:pPr>
    </w:p>
    <w:p w14:paraId="3005ECB9"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i/>
          <w:iCs/>
          <w:color w:val="000000"/>
          <w:kern w:val="0"/>
          <w:sz w:val="22"/>
          <w:szCs w:val="22"/>
          <w:lang w:val="es-CO" w:eastAsia="es-MX"/>
          <w14:ligatures w14:val="none"/>
        </w:rPr>
        <w:t>Estos estados deben ser suscritos por dicho profesional, anteponiendo la expresión "ver la opinión adjunta" u otra similar. El sentido y alcance de su firma será el que se indique en el dictamen correspondiente.</w:t>
      </w:r>
    </w:p>
    <w:p w14:paraId="6E5754BD" w14:textId="77777777" w:rsidR="006F77D5" w:rsidRPr="006F77D5" w:rsidRDefault="006F77D5" w:rsidP="006F77D5">
      <w:pPr>
        <w:rPr>
          <w:rFonts w:ascii="Times New Roman" w:eastAsia="Times New Roman" w:hAnsi="Times New Roman" w:cs="Times New Roman"/>
          <w:kern w:val="0"/>
          <w:lang w:val="es-CO" w:eastAsia="es-MX"/>
          <w14:ligatures w14:val="none"/>
        </w:rPr>
      </w:pPr>
    </w:p>
    <w:p w14:paraId="275AC734"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i/>
          <w:iCs/>
          <w:color w:val="000000"/>
          <w:kern w:val="0"/>
          <w:sz w:val="22"/>
          <w:szCs w:val="22"/>
          <w:lang w:val="es-CO" w:eastAsia="es-MX"/>
          <w14:ligatures w14:val="none"/>
        </w:rPr>
        <w:t>Cuando los estados financieros se presenten conjuntamente con el informe de gestión de los administradores, el revisor fiscal o contador público independiente deberá incluir en su informe su opinión sobre si entre aquéllos y éstos existe la debida concordancia”.</w:t>
      </w:r>
      <w:r w:rsidRPr="006F77D5">
        <w:rPr>
          <w:rFonts w:ascii="Verdana" w:eastAsia="Times New Roman" w:hAnsi="Verdana" w:cs="Times New Roman"/>
          <w:color w:val="000000"/>
          <w:kern w:val="0"/>
          <w:lang w:val="es-CO" w:eastAsia="es-MX"/>
          <w14:ligatures w14:val="none"/>
        </w:rPr>
        <w:t xml:space="preserve"> Subrayado fuera de texto original.</w:t>
      </w:r>
    </w:p>
    <w:p w14:paraId="6098E8FC" w14:textId="77777777" w:rsidR="006F77D5" w:rsidRPr="006F77D5" w:rsidRDefault="006F77D5" w:rsidP="006F77D5">
      <w:pPr>
        <w:rPr>
          <w:rFonts w:ascii="Times New Roman" w:eastAsia="Times New Roman" w:hAnsi="Times New Roman" w:cs="Times New Roman"/>
          <w:kern w:val="0"/>
          <w:lang w:val="es-CO" w:eastAsia="es-MX"/>
          <w14:ligatures w14:val="none"/>
        </w:rPr>
      </w:pPr>
      <w:r w:rsidRPr="006F77D5">
        <w:rPr>
          <w:rFonts w:ascii="Times New Roman" w:eastAsia="Times New Roman" w:hAnsi="Times New Roman" w:cs="Times New Roman"/>
          <w:kern w:val="0"/>
          <w:lang w:val="es-CO" w:eastAsia="es-MX"/>
          <w14:ligatures w14:val="none"/>
        </w:rPr>
        <w:br/>
      </w:r>
    </w:p>
    <w:p w14:paraId="652EF63E" w14:textId="77777777" w:rsidR="006F77D5" w:rsidRPr="006F77D5" w:rsidRDefault="006F77D5" w:rsidP="006F77D5">
      <w:pPr>
        <w:numPr>
          <w:ilvl w:val="0"/>
          <w:numId w:val="3"/>
        </w:numPr>
        <w:jc w:val="both"/>
        <w:textAlignment w:val="baseline"/>
        <w:rPr>
          <w:rFonts w:ascii="Verdana" w:eastAsia="Times New Roman" w:hAnsi="Verdana" w:cs="Times New Roman"/>
          <w:color w:val="000000"/>
          <w:kern w:val="0"/>
          <w:lang w:val="es-CO" w:eastAsia="es-MX"/>
          <w14:ligatures w14:val="none"/>
        </w:rPr>
      </w:pPr>
      <w:r w:rsidRPr="006F77D5">
        <w:rPr>
          <w:rFonts w:ascii="Verdana" w:eastAsia="Times New Roman" w:hAnsi="Verdana" w:cs="Times New Roman"/>
          <w:color w:val="000000"/>
          <w:kern w:val="0"/>
          <w:lang w:val="es-CO" w:eastAsia="es-MX"/>
          <w14:ligatures w14:val="none"/>
        </w:rPr>
        <w:t>Jurisprudencia Constitucional:</w:t>
      </w:r>
    </w:p>
    <w:p w14:paraId="55A99B8A" w14:textId="77777777" w:rsidR="006F77D5" w:rsidRPr="006F77D5" w:rsidRDefault="006F77D5" w:rsidP="006F77D5">
      <w:pPr>
        <w:rPr>
          <w:rFonts w:ascii="Times New Roman" w:eastAsia="Times New Roman" w:hAnsi="Times New Roman" w:cs="Times New Roman"/>
          <w:kern w:val="0"/>
          <w:lang w:val="es-CO" w:eastAsia="es-MX"/>
          <w14:ligatures w14:val="none"/>
        </w:rPr>
      </w:pPr>
    </w:p>
    <w:p w14:paraId="66C0D000"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color w:val="000000"/>
          <w:kern w:val="0"/>
          <w:lang w:val="es-CO" w:eastAsia="es-MX"/>
          <w14:ligatures w14:val="none"/>
        </w:rPr>
        <w:t xml:space="preserve">La Corte Constitucional, en la </w:t>
      </w:r>
      <w:r w:rsidRPr="006F77D5">
        <w:rPr>
          <w:rFonts w:ascii="Verdana" w:eastAsia="Times New Roman" w:hAnsi="Verdana" w:cs="Times New Roman"/>
          <w:color w:val="000000"/>
          <w:kern w:val="0"/>
          <w:u w:val="single"/>
          <w:lang w:val="es-CO" w:eastAsia="es-MX"/>
          <w14:ligatures w14:val="none"/>
        </w:rPr>
        <w:t>Sentencia C-290 de 1997</w:t>
      </w:r>
      <w:r w:rsidRPr="006F77D5">
        <w:rPr>
          <w:rFonts w:ascii="Verdana" w:eastAsia="Times New Roman" w:hAnsi="Verdana" w:cs="Times New Roman"/>
          <w:color w:val="000000"/>
          <w:kern w:val="0"/>
          <w:lang w:val="es-CO" w:eastAsia="es-MX"/>
          <w14:ligatures w14:val="none"/>
        </w:rPr>
        <w:t xml:space="preserve">, precisó que: </w:t>
      </w:r>
      <w:r w:rsidRPr="006F77D5">
        <w:rPr>
          <w:rFonts w:ascii="Verdana" w:eastAsia="Times New Roman" w:hAnsi="Verdana" w:cs="Times New Roman"/>
          <w:i/>
          <w:iCs/>
          <w:color w:val="000000"/>
          <w:kern w:val="0"/>
          <w:sz w:val="22"/>
          <w:szCs w:val="22"/>
          <w:lang w:val="es-CO" w:eastAsia="es-MX"/>
          <w14:ligatures w14:val="none"/>
        </w:rPr>
        <w:t xml:space="preserve">“la razón de ser de las intervenciones de estos profesionales, por lo menos en relación con los estados financieros, es la manifestación de un concepto de auditoría, no basta que puedan suscribirlos, sino que es menester que, sin perjuicio de las manifestaciones mínimas a que los obliga el ordenamiento jurídico, tengan también el derecho de exponer libremente lo que a bien tengan sobre la razonabilidad de los instrumentos examinados, según sus apreciaciones éticas y sus propias capacidades como expertos en la materia. Los revisores fiscales y contadores independientes no tienen, en relación con el contenido de </w:t>
      </w:r>
      <w:r w:rsidRPr="006F77D5">
        <w:rPr>
          <w:rFonts w:ascii="Verdana" w:eastAsia="Times New Roman" w:hAnsi="Verdana" w:cs="Times New Roman"/>
          <w:i/>
          <w:iCs/>
          <w:color w:val="000000"/>
          <w:kern w:val="0"/>
          <w:sz w:val="22"/>
          <w:szCs w:val="22"/>
          <w:lang w:val="es-CO" w:eastAsia="es-MX"/>
          <w14:ligatures w14:val="none"/>
        </w:rPr>
        <w:lastRenderedPageBreak/>
        <w:t>los conceptos que emiten sobre estados financieros, libertad absoluta. Por el contrario, están sujetos a unas obligaciones mínimas, más exigentes para los revisores fiscales. Es de la esencia de la labor de los revisores fiscales o contadores independientes, poder conceptuar sobre los estados financieros certificados con amplitud, más allá de los mínimos legales”.</w:t>
      </w:r>
    </w:p>
    <w:p w14:paraId="0DF88C29" w14:textId="77777777" w:rsidR="006F77D5" w:rsidRPr="006F77D5" w:rsidRDefault="006F77D5" w:rsidP="006F77D5">
      <w:pPr>
        <w:rPr>
          <w:rFonts w:ascii="Times New Roman" w:eastAsia="Times New Roman" w:hAnsi="Times New Roman" w:cs="Times New Roman"/>
          <w:kern w:val="0"/>
          <w:lang w:val="es-CO" w:eastAsia="es-MX"/>
          <w14:ligatures w14:val="none"/>
        </w:rPr>
      </w:pPr>
      <w:r w:rsidRPr="006F77D5">
        <w:rPr>
          <w:rFonts w:ascii="Times New Roman" w:eastAsia="Times New Roman" w:hAnsi="Times New Roman" w:cs="Times New Roman"/>
          <w:kern w:val="0"/>
          <w:lang w:val="es-CO" w:eastAsia="es-MX"/>
          <w14:ligatures w14:val="none"/>
        </w:rPr>
        <w:br/>
      </w:r>
    </w:p>
    <w:p w14:paraId="1325B38D" w14:textId="77777777" w:rsidR="006F77D5" w:rsidRPr="006F77D5" w:rsidRDefault="006F77D5" w:rsidP="006F77D5">
      <w:pPr>
        <w:numPr>
          <w:ilvl w:val="0"/>
          <w:numId w:val="4"/>
        </w:numPr>
        <w:jc w:val="both"/>
        <w:textAlignment w:val="baseline"/>
        <w:rPr>
          <w:rFonts w:ascii="Verdana" w:eastAsia="Times New Roman" w:hAnsi="Verdana" w:cs="Times New Roman"/>
          <w:color w:val="000000"/>
          <w:kern w:val="0"/>
          <w:lang w:val="es-CO" w:eastAsia="es-MX"/>
          <w14:ligatures w14:val="none"/>
        </w:rPr>
      </w:pPr>
      <w:r w:rsidRPr="006F77D5">
        <w:rPr>
          <w:rFonts w:ascii="Verdana" w:eastAsia="Times New Roman" w:hAnsi="Verdana" w:cs="Times New Roman"/>
          <w:color w:val="000000"/>
          <w:kern w:val="0"/>
          <w:lang w:val="es-CO" w:eastAsia="es-MX"/>
          <w14:ligatures w14:val="none"/>
        </w:rPr>
        <w:t>Doctrina administrativa:</w:t>
      </w:r>
    </w:p>
    <w:p w14:paraId="2865D39C" w14:textId="77777777" w:rsidR="006F77D5" w:rsidRPr="006F77D5" w:rsidRDefault="006F77D5" w:rsidP="006F77D5">
      <w:pPr>
        <w:rPr>
          <w:rFonts w:ascii="Times New Roman" w:eastAsia="Times New Roman" w:hAnsi="Times New Roman" w:cs="Times New Roman"/>
          <w:kern w:val="0"/>
          <w:lang w:val="es-CO" w:eastAsia="es-MX"/>
          <w14:ligatures w14:val="none"/>
        </w:rPr>
      </w:pPr>
    </w:p>
    <w:p w14:paraId="6573C1AA"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color w:val="000000"/>
          <w:kern w:val="0"/>
          <w:lang w:val="es-CO" w:eastAsia="es-MX"/>
          <w14:ligatures w14:val="none"/>
        </w:rPr>
        <w:t xml:space="preserve">Con base en el oficio 220-73035 del 30 de noviembre de 2000 de la Superintendencia de Sociedades: </w:t>
      </w:r>
      <w:r w:rsidRPr="006F77D5">
        <w:rPr>
          <w:rFonts w:ascii="Verdana" w:eastAsia="Times New Roman" w:hAnsi="Verdana" w:cs="Times New Roman"/>
          <w:i/>
          <w:iCs/>
          <w:color w:val="000000"/>
          <w:kern w:val="0"/>
          <w:sz w:val="22"/>
          <w:szCs w:val="22"/>
          <w:lang w:val="es-CO" w:eastAsia="es-MX"/>
          <w14:ligatures w14:val="none"/>
        </w:rPr>
        <w:t>“De lo anterior, se infiere que los estados financieros deben acompañarse de una opinión o dictamen cuando la entidad está obligada por la ley a nombrar un revisor fiscal para que lleve a cabo una auditoría o revisión de su información financiera histórica”.</w:t>
      </w:r>
    </w:p>
    <w:p w14:paraId="24D9873A" w14:textId="77777777" w:rsidR="006F77D5" w:rsidRPr="006F77D5" w:rsidRDefault="006F77D5" w:rsidP="006F77D5">
      <w:pPr>
        <w:rPr>
          <w:rFonts w:ascii="Times New Roman" w:eastAsia="Times New Roman" w:hAnsi="Times New Roman" w:cs="Times New Roman"/>
          <w:kern w:val="0"/>
          <w:lang w:val="es-CO" w:eastAsia="es-MX"/>
          <w14:ligatures w14:val="none"/>
        </w:rPr>
      </w:pPr>
      <w:r w:rsidRPr="006F77D5">
        <w:rPr>
          <w:rFonts w:ascii="Times New Roman" w:eastAsia="Times New Roman" w:hAnsi="Times New Roman" w:cs="Times New Roman"/>
          <w:kern w:val="0"/>
          <w:lang w:val="es-CO" w:eastAsia="es-MX"/>
          <w14:ligatures w14:val="none"/>
        </w:rPr>
        <w:br/>
      </w:r>
    </w:p>
    <w:p w14:paraId="48258833" w14:textId="77777777" w:rsidR="006F77D5" w:rsidRPr="006F77D5" w:rsidRDefault="006F77D5" w:rsidP="006F77D5">
      <w:pPr>
        <w:numPr>
          <w:ilvl w:val="0"/>
          <w:numId w:val="5"/>
        </w:numPr>
        <w:jc w:val="both"/>
        <w:textAlignment w:val="baseline"/>
        <w:rPr>
          <w:rFonts w:ascii="Verdana" w:eastAsia="Times New Roman" w:hAnsi="Verdana" w:cs="Times New Roman"/>
          <w:color w:val="000000"/>
          <w:kern w:val="0"/>
          <w:lang w:val="es-CO" w:eastAsia="es-MX"/>
          <w14:ligatures w14:val="none"/>
        </w:rPr>
      </w:pPr>
      <w:r w:rsidRPr="006F77D5">
        <w:rPr>
          <w:rFonts w:ascii="Verdana" w:eastAsia="Times New Roman" w:hAnsi="Verdana" w:cs="Times New Roman"/>
          <w:color w:val="000000"/>
          <w:kern w:val="0"/>
          <w:lang w:val="es-CO" w:eastAsia="es-MX"/>
          <w14:ligatures w14:val="none"/>
        </w:rPr>
        <w:t>No obligados a tener revisor fiscal</w:t>
      </w:r>
    </w:p>
    <w:p w14:paraId="62E6D4FB" w14:textId="77777777" w:rsidR="006F77D5" w:rsidRPr="006F77D5" w:rsidRDefault="006F77D5" w:rsidP="006F77D5">
      <w:pPr>
        <w:rPr>
          <w:rFonts w:ascii="Times New Roman" w:eastAsia="Times New Roman" w:hAnsi="Times New Roman" w:cs="Times New Roman"/>
          <w:kern w:val="0"/>
          <w:lang w:val="es-CO" w:eastAsia="es-MX"/>
          <w14:ligatures w14:val="none"/>
        </w:rPr>
      </w:pPr>
    </w:p>
    <w:p w14:paraId="4C8593D3"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color w:val="000000"/>
          <w:kern w:val="0"/>
          <w:lang w:val="es-CO" w:eastAsia="es-MX"/>
          <w14:ligatures w14:val="none"/>
        </w:rPr>
        <w:t>Cuando una persona natural o jurídica no esté obligada legal o estatutariamente a tener revisor fiscal, deberá presentar únicamente, a sus asociados o terceros, estados financieros certificados (suscritos) por: el representante legal y contador público que participó en su elaboración.</w:t>
      </w:r>
    </w:p>
    <w:p w14:paraId="3B84DC0C" w14:textId="77777777" w:rsidR="006F77D5" w:rsidRPr="006F77D5" w:rsidRDefault="006F77D5" w:rsidP="006F77D5">
      <w:pPr>
        <w:rPr>
          <w:rFonts w:ascii="Times New Roman" w:eastAsia="Times New Roman" w:hAnsi="Times New Roman" w:cs="Times New Roman"/>
          <w:kern w:val="0"/>
          <w:lang w:val="es-CO" w:eastAsia="es-MX"/>
          <w14:ligatures w14:val="none"/>
        </w:rPr>
      </w:pPr>
    </w:p>
    <w:p w14:paraId="72FA7C64"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b/>
          <w:bCs/>
          <w:color w:val="000000"/>
          <w:kern w:val="0"/>
          <w:lang w:val="es-CO" w:eastAsia="es-MX"/>
          <w14:ligatures w14:val="none"/>
        </w:rPr>
        <w:t>CONCLUSIÓN</w:t>
      </w:r>
    </w:p>
    <w:p w14:paraId="0E8305D6" w14:textId="77777777" w:rsidR="006F77D5" w:rsidRPr="006F77D5" w:rsidRDefault="006F77D5" w:rsidP="006F77D5">
      <w:pPr>
        <w:rPr>
          <w:rFonts w:ascii="Times New Roman" w:eastAsia="Times New Roman" w:hAnsi="Times New Roman" w:cs="Times New Roman"/>
          <w:kern w:val="0"/>
          <w:lang w:val="es-CO" w:eastAsia="es-MX"/>
          <w14:ligatures w14:val="none"/>
        </w:rPr>
      </w:pPr>
    </w:p>
    <w:p w14:paraId="53839FCF"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color w:val="000000"/>
          <w:kern w:val="0"/>
          <w:lang w:val="es-CO" w:eastAsia="es-MX"/>
          <w14:ligatures w14:val="none"/>
        </w:rPr>
        <w:t xml:space="preserve">No se observa norma legal expresa que disponga que los estados financieros de una persona natural o jurídica que </w:t>
      </w:r>
      <w:r w:rsidRPr="006F77D5">
        <w:rPr>
          <w:rFonts w:ascii="Verdana" w:eastAsia="Times New Roman" w:hAnsi="Verdana" w:cs="Times New Roman"/>
          <w:b/>
          <w:bCs/>
          <w:color w:val="000000"/>
          <w:kern w:val="0"/>
          <w:lang w:val="es-CO" w:eastAsia="es-MX"/>
          <w14:ligatures w14:val="none"/>
        </w:rPr>
        <w:t xml:space="preserve">no </w:t>
      </w:r>
      <w:r w:rsidRPr="006F77D5">
        <w:rPr>
          <w:rFonts w:ascii="Verdana" w:eastAsia="Times New Roman" w:hAnsi="Verdana" w:cs="Times New Roman"/>
          <w:color w:val="000000"/>
          <w:kern w:val="0"/>
          <w:lang w:val="es-CO" w:eastAsia="es-MX"/>
          <w14:ligatures w14:val="none"/>
        </w:rPr>
        <w:t>esté obligada a tener revisor fiscal, deban ser dictaminados por este o, en su defecto, por un contador público independiente. Sin embargo, la entidad podrá optar voluntariamente por acompañarlos con un dictamen independiente, con el fin de brindar mayor confianza a terceros.</w:t>
      </w:r>
    </w:p>
    <w:p w14:paraId="7B96A375" w14:textId="77777777" w:rsidR="006F77D5" w:rsidRPr="006F77D5" w:rsidRDefault="006F77D5" w:rsidP="006F77D5">
      <w:pPr>
        <w:rPr>
          <w:rFonts w:ascii="Times New Roman" w:eastAsia="Times New Roman" w:hAnsi="Times New Roman" w:cs="Times New Roman"/>
          <w:kern w:val="0"/>
          <w:lang w:val="es-CO" w:eastAsia="es-MX"/>
          <w14:ligatures w14:val="none"/>
        </w:rPr>
      </w:pPr>
    </w:p>
    <w:p w14:paraId="5D09C8D9"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color w:val="000000"/>
          <w:kern w:val="0"/>
          <w:lang w:val="es-CO" w:eastAsia="es-MX"/>
          <w14:ligatures w14:val="none"/>
        </w:rPr>
        <w:t xml:space="preserve">En estos casos, la obligación se limita a presentar los estados financieros certificados, firmados por el representante legal y el contador público que los preparó conforme a lo dispuesto en el artículo 37 de la </w:t>
      </w:r>
      <w:r w:rsidRPr="006F77D5">
        <w:rPr>
          <w:rFonts w:ascii="Verdana" w:eastAsia="Times New Roman" w:hAnsi="Verdana" w:cs="Times New Roman"/>
          <w:color w:val="000000"/>
          <w:kern w:val="0"/>
          <w:u w:val="single"/>
          <w:lang w:val="es-CO" w:eastAsia="es-MX"/>
          <w14:ligatures w14:val="none"/>
        </w:rPr>
        <w:t>Ley 222 de 1995</w:t>
      </w:r>
      <w:r w:rsidRPr="006F77D5">
        <w:rPr>
          <w:rFonts w:ascii="Verdana" w:eastAsia="Times New Roman" w:hAnsi="Verdana" w:cs="Times New Roman"/>
          <w:color w:val="000000"/>
          <w:kern w:val="0"/>
          <w:lang w:val="es-CO" w:eastAsia="es-MX"/>
          <w14:ligatures w14:val="none"/>
        </w:rPr>
        <w:t>.</w:t>
      </w:r>
    </w:p>
    <w:p w14:paraId="5B6B04B9" w14:textId="77777777" w:rsidR="006F77D5" w:rsidRPr="006F77D5" w:rsidRDefault="006F77D5" w:rsidP="006F77D5">
      <w:pPr>
        <w:rPr>
          <w:rFonts w:ascii="Times New Roman" w:eastAsia="Times New Roman" w:hAnsi="Times New Roman" w:cs="Times New Roman"/>
          <w:kern w:val="0"/>
          <w:lang w:val="es-CO" w:eastAsia="es-MX"/>
          <w14:ligatures w14:val="none"/>
        </w:rPr>
      </w:pPr>
    </w:p>
    <w:p w14:paraId="33A10985"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color w:val="000000"/>
          <w:kern w:val="0"/>
          <w:lang w:val="es-CO" w:eastAsia="es-MX"/>
          <w14:ligatures w14:val="none"/>
        </w:rPr>
        <w:t>Ahora bien, el dictamen de un contador público independiente procede en los siguientes casos:</w:t>
      </w:r>
    </w:p>
    <w:p w14:paraId="43F704C3" w14:textId="77777777" w:rsidR="006F77D5" w:rsidRPr="006F77D5" w:rsidRDefault="006F77D5" w:rsidP="006F77D5">
      <w:pPr>
        <w:rPr>
          <w:rFonts w:ascii="Times New Roman" w:eastAsia="Times New Roman" w:hAnsi="Times New Roman" w:cs="Times New Roman"/>
          <w:kern w:val="0"/>
          <w:lang w:val="es-CO" w:eastAsia="es-MX"/>
          <w14:ligatures w14:val="none"/>
        </w:rPr>
      </w:pPr>
      <w:r w:rsidRPr="006F77D5">
        <w:rPr>
          <w:rFonts w:ascii="Times New Roman" w:eastAsia="Times New Roman" w:hAnsi="Times New Roman" w:cs="Times New Roman"/>
          <w:kern w:val="0"/>
          <w:lang w:val="es-CO" w:eastAsia="es-MX"/>
          <w14:ligatures w14:val="none"/>
        </w:rPr>
        <w:br/>
      </w:r>
    </w:p>
    <w:p w14:paraId="767E97AF" w14:textId="77777777" w:rsidR="006F77D5" w:rsidRPr="006F77D5" w:rsidRDefault="006F77D5" w:rsidP="006F77D5">
      <w:pPr>
        <w:numPr>
          <w:ilvl w:val="0"/>
          <w:numId w:val="6"/>
        </w:numPr>
        <w:jc w:val="both"/>
        <w:textAlignment w:val="baseline"/>
        <w:rPr>
          <w:rFonts w:ascii="Verdana" w:eastAsia="Times New Roman" w:hAnsi="Verdana" w:cs="Times New Roman"/>
          <w:color w:val="000000"/>
          <w:kern w:val="0"/>
          <w:lang w:val="es-CO" w:eastAsia="es-MX"/>
          <w14:ligatures w14:val="none"/>
        </w:rPr>
      </w:pPr>
      <w:r w:rsidRPr="006F77D5">
        <w:rPr>
          <w:rFonts w:ascii="Verdana" w:eastAsia="Times New Roman" w:hAnsi="Verdana" w:cs="Times New Roman"/>
          <w:color w:val="000000"/>
          <w:kern w:val="0"/>
          <w:lang w:val="es-CO" w:eastAsia="es-MX"/>
          <w14:ligatures w14:val="none"/>
        </w:rPr>
        <w:t>Cuando la entidad no cuente con revisor fiscal y, por requerimiento de un tercero, (por ejemplo, una entidad financiera, un inversionista o en un proceso contractual), deba presentar estados financieros dictaminados.</w:t>
      </w:r>
    </w:p>
    <w:p w14:paraId="718E1586" w14:textId="77777777" w:rsidR="006F77D5" w:rsidRPr="006F77D5" w:rsidRDefault="006F77D5" w:rsidP="006F77D5">
      <w:pPr>
        <w:numPr>
          <w:ilvl w:val="0"/>
          <w:numId w:val="6"/>
        </w:numPr>
        <w:jc w:val="both"/>
        <w:textAlignment w:val="baseline"/>
        <w:rPr>
          <w:rFonts w:ascii="Verdana" w:eastAsia="Times New Roman" w:hAnsi="Verdana" w:cs="Times New Roman"/>
          <w:color w:val="000000"/>
          <w:kern w:val="0"/>
          <w:lang w:val="es-CO" w:eastAsia="es-MX"/>
          <w14:ligatures w14:val="none"/>
        </w:rPr>
      </w:pPr>
      <w:r w:rsidRPr="006F77D5">
        <w:rPr>
          <w:rFonts w:ascii="Verdana" w:eastAsia="Times New Roman" w:hAnsi="Verdana" w:cs="Times New Roman"/>
          <w:color w:val="000000"/>
          <w:kern w:val="0"/>
          <w:lang w:val="es-CO" w:eastAsia="es-MX"/>
          <w14:ligatures w14:val="none"/>
        </w:rPr>
        <w:lastRenderedPageBreak/>
        <w:t>Cuando así lo exija de manera expresa una autoridad reguladora.</w:t>
      </w:r>
    </w:p>
    <w:p w14:paraId="72DCA6BE" w14:textId="77777777" w:rsidR="006F77D5" w:rsidRPr="006F77D5" w:rsidRDefault="006F77D5" w:rsidP="006F77D5">
      <w:pPr>
        <w:numPr>
          <w:ilvl w:val="0"/>
          <w:numId w:val="6"/>
        </w:numPr>
        <w:jc w:val="both"/>
        <w:textAlignment w:val="baseline"/>
        <w:rPr>
          <w:rFonts w:ascii="Verdana" w:eastAsia="Times New Roman" w:hAnsi="Verdana" w:cs="Times New Roman"/>
          <w:color w:val="000000"/>
          <w:kern w:val="0"/>
          <w:lang w:val="es-CO" w:eastAsia="es-MX"/>
          <w14:ligatures w14:val="none"/>
        </w:rPr>
      </w:pPr>
      <w:r w:rsidRPr="006F77D5">
        <w:rPr>
          <w:rFonts w:ascii="Verdana" w:eastAsia="Times New Roman" w:hAnsi="Verdana" w:cs="Times New Roman"/>
          <w:color w:val="000000"/>
          <w:kern w:val="0"/>
          <w:lang w:val="es-CO" w:eastAsia="es-MX"/>
          <w14:ligatures w14:val="none"/>
        </w:rPr>
        <w:t>Cuando la propia entidad, de manera voluntaria, decida someter sus estados financieros a revisión independiente.</w:t>
      </w:r>
    </w:p>
    <w:p w14:paraId="15F5CAFA" w14:textId="77777777" w:rsidR="006F77D5" w:rsidRPr="006F77D5" w:rsidRDefault="006F77D5" w:rsidP="006F77D5">
      <w:pPr>
        <w:rPr>
          <w:rFonts w:ascii="Times New Roman" w:eastAsia="Times New Roman" w:hAnsi="Times New Roman" w:cs="Times New Roman"/>
          <w:kern w:val="0"/>
          <w:lang w:val="es-CO" w:eastAsia="es-MX"/>
          <w14:ligatures w14:val="none"/>
        </w:rPr>
      </w:pPr>
    </w:p>
    <w:p w14:paraId="1178875B"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color w:val="000000"/>
          <w:kern w:val="0"/>
          <w:lang w:val="es-CO" w:eastAsia="es-MX"/>
          <w14:ligatures w14:val="none"/>
        </w:rPr>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57ED59D1" w14:textId="77777777" w:rsidR="006F77D5" w:rsidRPr="006F77D5" w:rsidRDefault="006F77D5" w:rsidP="006F77D5">
      <w:pPr>
        <w:spacing w:after="240"/>
        <w:rPr>
          <w:rFonts w:ascii="Times New Roman" w:eastAsia="Times New Roman" w:hAnsi="Times New Roman" w:cs="Times New Roman"/>
          <w:kern w:val="0"/>
          <w:lang w:val="es-CO" w:eastAsia="es-MX"/>
          <w14:ligatures w14:val="none"/>
        </w:rPr>
      </w:pPr>
    </w:p>
    <w:p w14:paraId="479B83C3"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color w:val="000000"/>
          <w:kern w:val="0"/>
          <w:lang w:val="es-CO" w:eastAsia="es-MX"/>
          <w14:ligatures w14:val="none"/>
        </w:rPr>
        <w:t>Cordialmente,</w:t>
      </w:r>
    </w:p>
    <w:p w14:paraId="341AABB4" w14:textId="77777777" w:rsidR="006F77D5" w:rsidRPr="006F77D5" w:rsidRDefault="006F77D5" w:rsidP="006F77D5">
      <w:pPr>
        <w:spacing w:after="240"/>
        <w:rPr>
          <w:rFonts w:ascii="Times New Roman" w:eastAsia="Times New Roman" w:hAnsi="Times New Roman" w:cs="Times New Roman"/>
          <w:kern w:val="0"/>
          <w:lang w:val="es-CO" w:eastAsia="es-MX"/>
          <w14:ligatures w14:val="none"/>
        </w:rPr>
      </w:pPr>
      <w:r w:rsidRPr="006F77D5">
        <w:rPr>
          <w:rFonts w:ascii="Times New Roman" w:eastAsia="Times New Roman" w:hAnsi="Times New Roman" w:cs="Times New Roman"/>
          <w:kern w:val="0"/>
          <w:lang w:val="es-CO" w:eastAsia="es-MX"/>
          <w14:ligatures w14:val="none"/>
        </w:rPr>
        <w:br/>
      </w:r>
    </w:p>
    <w:p w14:paraId="7E39E663"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b/>
          <w:bCs/>
          <w:color w:val="000000"/>
          <w:kern w:val="0"/>
          <w:lang w:val="es-CO" w:eastAsia="es-MX"/>
          <w14:ligatures w14:val="none"/>
        </w:rPr>
        <w:t>JORGE HERNANDO RODRÍGUEZ HERRERA</w:t>
      </w:r>
    </w:p>
    <w:p w14:paraId="0E48678B" w14:textId="77777777" w:rsidR="006F77D5" w:rsidRPr="006F77D5" w:rsidRDefault="006F77D5" w:rsidP="006F77D5">
      <w:pPr>
        <w:jc w:val="both"/>
        <w:rPr>
          <w:rFonts w:ascii="Times New Roman" w:eastAsia="Times New Roman" w:hAnsi="Times New Roman" w:cs="Times New Roman"/>
          <w:kern w:val="0"/>
          <w:lang w:val="es-CO" w:eastAsia="es-MX"/>
          <w14:ligatures w14:val="none"/>
        </w:rPr>
      </w:pPr>
      <w:r w:rsidRPr="006F77D5">
        <w:rPr>
          <w:rFonts w:ascii="Verdana" w:eastAsia="Times New Roman" w:hAnsi="Verdana" w:cs="Times New Roman"/>
          <w:color w:val="000000"/>
          <w:kern w:val="0"/>
          <w:lang w:val="es-CO" w:eastAsia="es-MX"/>
          <w14:ligatures w14:val="none"/>
        </w:rPr>
        <w:t>Consejero – CTCP</w:t>
      </w:r>
    </w:p>
    <w:p w14:paraId="0AB8F17A" w14:textId="77777777" w:rsidR="006F77D5" w:rsidRPr="006F77D5" w:rsidRDefault="006F77D5" w:rsidP="006F77D5">
      <w:pPr>
        <w:rPr>
          <w:rFonts w:ascii="Times New Roman" w:eastAsia="Times New Roman" w:hAnsi="Times New Roman" w:cs="Times New Roman"/>
          <w:kern w:val="0"/>
          <w:lang w:val="es-CO" w:eastAsia="es-MX"/>
          <w14:ligatures w14:val="none"/>
        </w:rPr>
      </w:pPr>
    </w:p>
    <w:p w14:paraId="22F85C2D"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53BF0"/>
    <w:multiLevelType w:val="multilevel"/>
    <w:tmpl w:val="5E961C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C3B2FF7"/>
    <w:multiLevelType w:val="multilevel"/>
    <w:tmpl w:val="81340D5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0232DCE"/>
    <w:multiLevelType w:val="multilevel"/>
    <w:tmpl w:val="FCA6F3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DDD5D58"/>
    <w:multiLevelType w:val="multilevel"/>
    <w:tmpl w:val="62EEE0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4260031"/>
    <w:multiLevelType w:val="multilevel"/>
    <w:tmpl w:val="1DBE70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42E49AE"/>
    <w:multiLevelType w:val="multilevel"/>
    <w:tmpl w:val="D3D651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68043352">
    <w:abstractNumId w:val="3"/>
  </w:num>
  <w:num w:numId="2" w16cid:durableId="129907870">
    <w:abstractNumId w:val="1"/>
    <w:lvlOverride w:ilvl="0">
      <w:lvl w:ilvl="0">
        <w:numFmt w:val="decimal"/>
        <w:lvlText w:val="%1."/>
        <w:lvlJc w:val="left"/>
      </w:lvl>
    </w:lvlOverride>
  </w:num>
  <w:num w:numId="3" w16cid:durableId="1397164007">
    <w:abstractNumId w:val="4"/>
    <w:lvlOverride w:ilvl="0">
      <w:lvl w:ilvl="0">
        <w:numFmt w:val="decimal"/>
        <w:lvlText w:val="%1."/>
        <w:lvlJc w:val="left"/>
      </w:lvl>
    </w:lvlOverride>
  </w:num>
  <w:num w:numId="4" w16cid:durableId="201485418">
    <w:abstractNumId w:val="5"/>
    <w:lvlOverride w:ilvl="0">
      <w:lvl w:ilvl="0">
        <w:numFmt w:val="decimal"/>
        <w:lvlText w:val="%1."/>
        <w:lvlJc w:val="left"/>
      </w:lvl>
    </w:lvlOverride>
  </w:num>
  <w:num w:numId="5" w16cid:durableId="1793012603">
    <w:abstractNumId w:val="2"/>
    <w:lvlOverride w:ilvl="0">
      <w:lvl w:ilvl="0">
        <w:numFmt w:val="decimal"/>
        <w:lvlText w:val="%1."/>
        <w:lvlJc w:val="left"/>
      </w:lvl>
    </w:lvlOverride>
  </w:num>
  <w:num w:numId="6" w16cid:durableId="20550324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7D5"/>
    <w:rsid w:val="000B2285"/>
    <w:rsid w:val="00284D72"/>
    <w:rsid w:val="00537D8F"/>
    <w:rsid w:val="006F77D5"/>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095063F8"/>
  <w14:defaultImageDpi w14:val="32767"/>
  <w15:chartTrackingRefBased/>
  <w15:docId w15:val="{2B1B1BEF-36E6-C14A-8427-2FC1A89DC7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6F77D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6F77D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6F77D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6F77D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6F77D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6F77D5"/>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F77D5"/>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F77D5"/>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F77D5"/>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F77D5"/>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6F77D5"/>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6F77D5"/>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6F77D5"/>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6F77D5"/>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6F77D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F77D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F77D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F77D5"/>
    <w:rPr>
      <w:rFonts w:eastAsiaTheme="majorEastAsia" w:cstheme="majorBidi"/>
      <w:color w:val="272727" w:themeColor="text1" w:themeTint="D8"/>
    </w:rPr>
  </w:style>
  <w:style w:type="paragraph" w:styleId="Ttulo">
    <w:name w:val="Title"/>
    <w:basedOn w:val="Normal"/>
    <w:next w:val="Normal"/>
    <w:link w:val="TtuloCar"/>
    <w:uiPriority w:val="10"/>
    <w:qFormat/>
    <w:rsid w:val="006F77D5"/>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F77D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F77D5"/>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F77D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F77D5"/>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6F77D5"/>
    <w:rPr>
      <w:i/>
      <w:iCs/>
      <w:color w:val="404040" w:themeColor="text1" w:themeTint="BF"/>
    </w:rPr>
  </w:style>
  <w:style w:type="paragraph" w:styleId="Prrafodelista">
    <w:name w:val="List Paragraph"/>
    <w:basedOn w:val="Normal"/>
    <w:uiPriority w:val="34"/>
    <w:qFormat/>
    <w:rsid w:val="006F77D5"/>
    <w:pPr>
      <w:ind w:left="720"/>
      <w:contextualSpacing/>
    </w:pPr>
  </w:style>
  <w:style w:type="character" w:styleId="nfasisintenso">
    <w:name w:val="Intense Emphasis"/>
    <w:basedOn w:val="Fuentedeprrafopredeter"/>
    <w:uiPriority w:val="21"/>
    <w:qFormat/>
    <w:rsid w:val="006F77D5"/>
    <w:rPr>
      <w:i/>
      <w:iCs/>
      <w:color w:val="2F5496" w:themeColor="accent1" w:themeShade="BF"/>
    </w:rPr>
  </w:style>
  <w:style w:type="paragraph" w:styleId="Citadestacada">
    <w:name w:val="Intense Quote"/>
    <w:basedOn w:val="Normal"/>
    <w:next w:val="Normal"/>
    <w:link w:val="CitadestacadaCar"/>
    <w:uiPriority w:val="30"/>
    <w:qFormat/>
    <w:rsid w:val="006F77D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6F77D5"/>
    <w:rPr>
      <w:i/>
      <w:iCs/>
      <w:color w:val="2F5496" w:themeColor="accent1" w:themeShade="BF"/>
    </w:rPr>
  </w:style>
  <w:style w:type="character" w:styleId="Referenciaintensa">
    <w:name w:val="Intense Reference"/>
    <w:basedOn w:val="Fuentedeprrafopredeter"/>
    <w:uiPriority w:val="32"/>
    <w:qFormat/>
    <w:rsid w:val="006F77D5"/>
    <w:rPr>
      <w:b/>
      <w:bCs/>
      <w:smallCaps/>
      <w:color w:val="2F5496" w:themeColor="accent1" w:themeShade="BF"/>
      <w:spacing w:val="5"/>
    </w:rPr>
  </w:style>
  <w:style w:type="paragraph" w:styleId="NormalWeb">
    <w:name w:val="Normal (Web)"/>
    <w:basedOn w:val="Normal"/>
    <w:uiPriority w:val="99"/>
    <w:semiHidden/>
    <w:unhideWhenUsed/>
    <w:rsid w:val="006F77D5"/>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6F77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1018</Words>
  <Characters>5600</Characters>
  <Application>Microsoft Office Word</Application>
  <DocSecurity>0</DocSecurity>
  <Lines>46</Lines>
  <Paragraphs>13</Paragraphs>
  <ScaleCrop>false</ScaleCrop>
  <Company/>
  <LinksUpToDate>false</LinksUpToDate>
  <CharactersWithSpaces>6605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cote</dc:creator>
  <cp:keywords/>
  <dc:description/>
  <cp:lastModifiedBy>gustavo cote</cp:lastModifiedBy>
  <cp:revision>1</cp:revision>
  <dcterms:created xsi:type="dcterms:W3CDTF">2025-10-03T21:40:00Z</dcterms:created>
  <dcterms:modified xsi:type="dcterms:W3CDTF">2025-10-03T21:42:00Z</dcterms:modified>
</cp:coreProperties>
</file>