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276A53" w14:textId="77777777" w:rsidR="00300C94" w:rsidRPr="00300C94" w:rsidRDefault="00300C94" w:rsidP="00300C94">
      <w:pPr>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b/>
          <w:bCs/>
          <w:color w:val="000000"/>
          <w:kern w:val="0"/>
          <w:lang w:val="es-CO" w:eastAsia="es-MX"/>
          <w14:ligatures w14:val="none"/>
        </w:rPr>
        <w:t>CONCEPTO 17136 DEL 18 DE MARZO DE 2025</w:t>
      </w:r>
    </w:p>
    <w:p w14:paraId="1B26F14F" w14:textId="77777777" w:rsidR="00300C94" w:rsidRPr="00300C94" w:rsidRDefault="00300C94" w:rsidP="00300C94">
      <w:pPr>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b/>
          <w:bCs/>
          <w:color w:val="000000"/>
          <w:kern w:val="0"/>
          <w:lang w:val="es-CO" w:eastAsia="es-MX"/>
          <w14:ligatures w14:val="none"/>
        </w:rPr>
        <w:t>DIRECCIÓN DE APOYO FISCAL -DAF-</w:t>
      </w:r>
    </w:p>
    <w:p w14:paraId="4004209E" w14:textId="77777777" w:rsidR="00300C94" w:rsidRPr="00300C94" w:rsidRDefault="00300C94" w:rsidP="00300C94">
      <w:pPr>
        <w:rPr>
          <w:rFonts w:ascii="Times New Roman" w:eastAsia="Times New Roman" w:hAnsi="Times New Roman" w:cs="Times New Roman"/>
          <w:kern w:val="0"/>
          <w:lang w:val="es-CO" w:eastAsia="es-MX"/>
          <w14:ligatures w14:val="none"/>
        </w:rPr>
      </w:pPr>
    </w:p>
    <w:p w14:paraId="79641AB9" w14:textId="77777777" w:rsidR="00300C94" w:rsidRPr="00300C94" w:rsidRDefault="00300C94" w:rsidP="00300C94">
      <w:pPr>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color w:val="000000"/>
          <w:kern w:val="0"/>
          <w:lang w:val="es-CO" w:eastAsia="es-MX"/>
          <w14:ligatures w14:val="none"/>
        </w:rPr>
        <w:t>Bogotá D.C.,</w:t>
      </w:r>
    </w:p>
    <w:p w14:paraId="1062166F" w14:textId="77777777" w:rsidR="00300C94" w:rsidRPr="00300C94" w:rsidRDefault="00300C94" w:rsidP="00300C94">
      <w:pPr>
        <w:rPr>
          <w:rFonts w:ascii="Times New Roman" w:eastAsia="Times New Roman" w:hAnsi="Times New Roman" w:cs="Times New Roman"/>
          <w:kern w:val="0"/>
          <w:lang w:val="es-CO" w:eastAsia="es-MX"/>
          <w14:ligatures w14:val="none"/>
        </w:rPr>
      </w:pPr>
    </w:p>
    <w:p w14:paraId="1E03511B" w14:textId="77777777" w:rsidR="00300C94" w:rsidRPr="00300C94" w:rsidRDefault="00300C94" w:rsidP="00300C94">
      <w:pPr>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color w:val="000000"/>
          <w:kern w:val="0"/>
          <w:lang w:val="es-CO" w:eastAsia="es-MX"/>
          <w14:ligatures w14:val="none"/>
        </w:rPr>
        <w:t>Señor</w:t>
      </w:r>
    </w:p>
    <w:p w14:paraId="004B35CE" w14:textId="77777777" w:rsidR="00300C94" w:rsidRPr="00300C94" w:rsidRDefault="00300C94" w:rsidP="00300C94">
      <w:pPr>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b/>
          <w:bCs/>
          <w:color w:val="000000"/>
          <w:kern w:val="0"/>
          <w:lang w:val="es-CO" w:eastAsia="es-MX"/>
          <w14:ligatures w14:val="none"/>
        </w:rPr>
        <w:t xml:space="preserve">Juan Carlos Rodríguez </w:t>
      </w:r>
      <w:proofErr w:type="spellStart"/>
      <w:r w:rsidRPr="00300C94">
        <w:rPr>
          <w:rFonts w:ascii="Verdana" w:eastAsia="Times New Roman" w:hAnsi="Verdana" w:cs="Times New Roman"/>
          <w:b/>
          <w:bCs/>
          <w:color w:val="000000"/>
          <w:kern w:val="0"/>
          <w:lang w:val="es-CO" w:eastAsia="es-MX"/>
          <w14:ligatures w14:val="none"/>
        </w:rPr>
        <w:t>Waltero</w:t>
      </w:r>
      <w:proofErr w:type="spellEnd"/>
    </w:p>
    <w:p w14:paraId="605BCDC4" w14:textId="77777777" w:rsidR="00300C94" w:rsidRPr="00300C94" w:rsidRDefault="00300C94" w:rsidP="00300C94">
      <w:pPr>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color w:val="000000"/>
          <w:kern w:val="0"/>
          <w:lang w:val="es-CO" w:eastAsia="es-MX"/>
          <w14:ligatures w14:val="none"/>
        </w:rPr>
        <w:t>Subdirector Administrativo y Financiero</w:t>
      </w:r>
    </w:p>
    <w:p w14:paraId="3CF1BF4E" w14:textId="77777777" w:rsidR="00300C94" w:rsidRPr="00300C94" w:rsidRDefault="00300C94" w:rsidP="00300C94">
      <w:pPr>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color w:val="000000"/>
          <w:kern w:val="0"/>
          <w:lang w:val="es-CO" w:eastAsia="es-MX"/>
          <w14:ligatures w14:val="none"/>
        </w:rPr>
        <w:t>Instituto Distrital para la Recreación y el Deporte</w:t>
      </w:r>
    </w:p>
    <w:p w14:paraId="2144F92A" w14:textId="77777777" w:rsidR="00300C94" w:rsidRPr="00300C94" w:rsidRDefault="00300C94" w:rsidP="00300C94">
      <w:pPr>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color w:val="000000"/>
          <w:kern w:val="0"/>
          <w:u w:val="single"/>
          <w:lang w:val="es-CO" w:eastAsia="es-MX"/>
          <w14:ligatures w14:val="none"/>
        </w:rPr>
        <w:t>idrdcorrespondencia@idrd.gov.co</w:t>
      </w:r>
    </w:p>
    <w:p w14:paraId="6E179453" w14:textId="77777777" w:rsidR="00300C94" w:rsidRPr="00300C94" w:rsidRDefault="00300C94" w:rsidP="00300C94">
      <w:pPr>
        <w:rPr>
          <w:rFonts w:ascii="Times New Roman" w:eastAsia="Times New Roman" w:hAnsi="Times New Roman" w:cs="Times New Roman"/>
          <w:kern w:val="0"/>
          <w:lang w:val="es-CO" w:eastAsia="es-MX"/>
          <w14:ligatures w14:val="none"/>
        </w:rPr>
      </w:pPr>
    </w:p>
    <w:p w14:paraId="19A22CB7" w14:textId="77777777" w:rsidR="00300C94" w:rsidRPr="00300C94" w:rsidRDefault="00300C94" w:rsidP="00300C94">
      <w:pPr>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color w:val="000000"/>
          <w:kern w:val="0"/>
          <w:lang w:val="es-CO" w:eastAsia="es-MX"/>
          <w14:ligatures w14:val="none"/>
        </w:rPr>
        <w:t>Radicado entrada 1-2025-015968 del 18/02/2025</w:t>
      </w:r>
    </w:p>
    <w:p w14:paraId="7D9A25FE" w14:textId="77777777" w:rsidR="00300C94" w:rsidRPr="00300C94" w:rsidRDefault="00300C94" w:rsidP="00300C94">
      <w:pPr>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color w:val="000000"/>
          <w:kern w:val="0"/>
          <w:lang w:val="es-CO" w:eastAsia="es-MX"/>
          <w14:ligatures w14:val="none"/>
        </w:rPr>
        <w:t>No. Expediente 3307/2025/GEA</w:t>
      </w:r>
    </w:p>
    <w:p w14:paraId="1DB08659" w14:textId="77777777" w:rsidR="00300C94" w:rsidRPr="00300C94" w:rsidRDefault="00300C94" w:rsidP="00300C94">
      <w:pPr>
        <w:rPr>
          <w:rFonts w:ascii="Times New Roman" w:eastAsia="Times New Roman" w:hAnsi="Times New Roman" w:cs="Times New Roman"/>
          <w:kern w:val="0"/>
          <w:lang w:val="es-CO" w:eastAsia="es-MX"/>
          <w14:ligatures w14:val="none"/>
        </w:rPr>
      </w:pPr>
    </w:p>
    <w:p w14:paraId="181ECE97" w14:textId="77777777" w:rsidR="00300C94" w:rsidRPr="00300C94" w:rsidRDefault="00300C94" w:rsidP="00300C94">
      <w:pPr>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b/>
          <w:bCs/>
          <w:color w:val="000000"/>
          <w:kern w:val="0"/>
          <w:lang w:val="es-CO" w:eastAsia="es-MX"/>
          <w14:ligatures w14:val="none"/>
        </w:rPr>
        <w:t>Tema:</w:t>
      </w:r>
      <w:r w:rsidRPr="00300C94">
        <w:rPr>
          <w:rFonts w:ascii="Verdana" w:eastAsia="Times New Roman" w:hAnsi="Verdana" w:cs="Times New Roman"/>
          <w:b/>
          <w:bCs/>
          <w:color w:val="000000"/>
          <w:kern w:val="0"/>
          <w:lang w:val="es-CO" w:eastAsia="es-MX"/>
          <w14:ligatures w14:val="none"/>
        </w:rPr>
        <w:tab/>
      </w:r>
      <w:r w:rsidRPr="00300C94">
        <w:rPr>
          <w:rFonts w:ascii="Verdana" w:eastAsia="Times New Roman" w:hAnsi="Verdana" w:cs="Times New Roman"/>
          <w:color w:val="000000"/>
          <w:kern w:val="0"/>
          <w:lang w:val="es-CO" w:eastAsia="es-MX"/>
          <w14:ligatures w14:val="none"/>
        </w:rPr>
        <w:t>Impuesto nacional de espectáculos públicos</w:t>
      </w:r>
    </w:p>
    <w:p w14:paraId="70E82A8E" w14:textId="77777777" w:rsidR="00300C94" w:rsidRPr="00300C94" w:rsidRDefault="00300C94" w:rsidP="00300C94">
      <w:pPr>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b/>
          <w:bCs/>
          <w:color w:val="000000"/>
          <w:kern w:val="0"/>
          <w:lang w:val="es-CO" w:eastAsia="es-MX"/>
          <w14:ligatures w14:val="none"/>
        </w:rPr>
        <w:t>Subtema:</w:t>
      </w:r>
      <w:r w:rsidRPr="00300C94">
        <w:rPr>
          <w:rFonts w:ascii="Verdana" w:eastAsia="Times New Roman" w:hAnsi="Verdana" w:cs="Times New Roman"/>
          <w:b/>
          <w:bCs/>
          <w:color w:val="000000"/>
          <w:kern w:val="0"/>
          <w:lang w:val="es-CO" w:eastAsia="es-MX"/>
          <w14:ligatures w14:val="none"/>
        </w:rPr>
        <w:tab/>
      </w:r>
      <w:r w:rsidRPr="00300C94">
        <w:rPr>
          <w:rFonts w:ascii="Verdana" w:eastAsia="Times New Roman" w:hAnsi="Verdana" w:cs="Times New Roman"/>
          <w:color w:val="000000"/>
          <w:kern w:val="0"/>
          <w:lang w:val="es-CO" w:eastAsia="es-MX"/>
          <w14:ligatures w14:val="none"/>
        </w:rPr>
        <w:t>Sujeto activo</w:t>
      </w:r>
    </w:p>
    <w:p w14:paraId="15B5702A" w14:textId="77777777" w:rsidR="00300C94" w:rsidRPr="00300C94" w:rsidRDefault="00300C94" w:rsidP="00300C94">
      <w:pPr>
        <w:rPr>
          <w:rFonts w:ascii="Times New Roman" w:eastAsia="Times New Roman" w:hAnsi="Times New Roman" w:cs="Times New Roman"/>
          <w:kern w:val="0"/>
          <w:lang w:val="es-CO" w:eastAsia="es-MX"/>
          <w14:ligatures w14:val="none"/>
        </w:rPr>
      </w:pPr>
    </w:p>
    <w:p w14:paraId="6C9CC85B" w14:textId="77777777" w:rsidR="00300C94" w:rsidRPr="00300C94" w:rsidRDefault="00300C94" w:rsidP="00300C94">
      <w:pPr>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color w:val="000000"/>
          <w:kern w:val="0"/>
          <w:lang w:val="es-CO" w:eastAsia="es-MX"/>
          <w14:ligatures w14:val="none"/>
        </w:rPr>
        <w:t>Respetado Señor Rodríguez:</w:t>
      </w:r>
    </w:p>
    <w:p w14:paraId="55BF47BD" w14:textId="77777777" w:rsidR="00300C94" w:rsidRPr="00300C94" w:rsidRDefault="00300C94" w:rsidP="00300C94">
      <w:pPr>
        <w:rPr>
          <w:rFonts w:ascii="Times New Roman" w:eastAsia="Times New Roman" w:hAnsi="Times New Roman" w:cs="Times New Roman"/>
          <w:kern w:val="0"/>
          <w:lang w:val="es-CO" w:eastAsia="es-MX"/>
          <w14:ligatures w14:val="none"/>
        </w:rPr>
      </w:pPr>
    </w:p>
    <w:p w14:paraId="26300118" w14:textId="77777777" w:rsidR="00300C94" w:rsidRPr="00300C94" w:rsidRDefault="00300C94" w:rsidP="00300C94">
      <w:pPr>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color w:val="000000"/>
          <w:kern w:val="0"/>
          <w:lang w:val="es-CO" w:eastAsia="es-MX"/>
          <w14:ligatures w14:val="none"/>
        </w:rPr>
        <w:t>Mediante escrito radicado en este Ministerio con el número y fecha del asunto, después de hacer un recuento de la discusión jurídica entre ese Instituto y el Parque Salitre Mágico respecto de la obligación de este de pagar el Impuesto Nacional de Espectáculos Públicos con destino al deporte “</w:t>
      </w:r>
      <w:r w:rsidRPr="00300C94">
        <w:rPr>
          <w:rFonts w:ascii="Verdana" w:eastAsia="Times New Roman" w:hAnsi="Verdana" w:cs="Times New Roman"/>
          <w:i/>
          <w:iCs/>
          <w:color w:val="000000"/>
          <w:kern w:val="0"/>
          <w:lang w:val="es-CO" w:eastAsia="es-MX"/>
          <w14:ligatures w14:val="none"/>
        </w:rPr>
        <w:t>solicita indicar si dentro de las competencias del IDRD se encuentra el cobro coactivo del Impuesto Nacional de Espectáculos Públicos con destino al Deporte por parte de la Concesión Parque Salitre Mágico SAS con ocasión de los argumentos jurisprudenciales y legales expuestos; y brindar la orientación jurídica y técnica que se requiera para hacer efectiva dicha competencia..</w:t>
      </w:r>
      <w:r w:rsidRPr="00300C94">
        <w:rPr>
          <w:rFonts w:ascii="Verdana" w:eastAsia="Times New Roman" w:hAnsi="Verdana" w:cs="Times New Roman"/>
          <w:color w:val="000000"/>
          <w:kern w:val="0"/>
          <w:lang w:val="es-CO" w:eastAsia="es-MX"/>
          <w14:ligatures w14:val="none"/>
        </w:rPr>
        <w:t>”</w:t>
      </w:r>
    </w:p>
    <w:p w14:paraId="1AA6AA9F" w14:textId="77777777" w:rsidR="00300C94" w:rsidRPr="00300C94" w:rsidRDefault="00300C94" w:rsidP="00300C94">
      <w:pPr>
        <w:rPr>
          <w:rFonts w:ascii="Times New Roman" w:eastAsia="Times New Roman" w:hAnsi="Times New Roman" w:cs="Times New Roman"/>
          <w:kern w:val="0"/>
          <w:lang w:val="es-CO" w:eastAsia="es-MX"/>
          <w14:ligatures w14:val="none"/>
        </w:rPr>
      </w:pPr>
    </w:p>
    <w:p w14:paraId="06EC5262" w14:textId="77777777" w:rsidR="00300C94" w:rsidRPr="00300C94" w:rsidRDefault="00300C94" w:rsidP="00300C94">
      <w:pPr>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color w:val="000000"/>
          <w:kern w:val="0"/>
          <w:lang w:val="es-CO" w:eastAsia="es-MX"/>
          <w14:ligatures w14:val="none"/>
        </w:rPr>
        <w:t>Al efecto, el artículo 77 de la Ley 181 de 1995, establece:</w:t>
      </w:r>
    </w:p>
    <w:p w14:paraId="33212B0E" w14:textId="77777777" w:rsidR="00300C94" w:rsidRPr="00300C94" w:rsidRDefault="00300C94" w:rsidP="00300C94">
      <w:pPr>
        <w:rPr>
          <w:rFonts w:ascii="Times New Roman" w:eastAsia="Times New Roman" w:hAnsi="Times New Roman" w:cs="Times New Roman"/>
          <w:kern w:val="0"/>
          <w:lang w:val="es-CO" w:eastAsia="es-MX"/>
          <w14:ligatures w14:val="none"/>
        </w:rPr>
      </w:pPr>
    </w:p>
    <w:p w14:paraId="1A7D8D6F" w14:textId="77777777" w:rsidR="00300C94" w:rsidRPr="00300C94" w:rsidRDefault="00300C94" w:rsidP="00300C94">
      <w:pPr>
        <w:ind w:left="720"/>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color w:val="000000"/>
          <w:kern w:val="0"/>
          <w:sz w:val="22"/>
          <w:szCs w:val="22"/>
          <w:lang w:val="es-CO" w:eastAsia="es-MX"/>
          <w14:ligatures w14:val="none"/>
        </w:rPr>
        <w:t xml:space="preserve">“Artículo 77. Impuesto a espectáculos públicos. El impuesto a los espectáculos públicos a que se refieren la Ley 47 de 1968 y la Ley 30 de 1971, será el 10% del valor de la correspondiente entrada al espectáculo, excluidos los demás impuestos indirectos que hagan parte de dicho valor. La persona natural o jurídica responsable del espectáculo será responsable del pago de dicho impuesto. </w:t>
      </w:r>
      <w:r w:rsidRPr="00300C94">
        <w:rPr>
          <w:rFonts w:ascii="Verdana" w:eastAsia="Times New Roman" w:hAnsi="Verdana" w:cs="Times New Roman"/>
          <w:b/>
          <w:bCs/>
          <w:color w:val="000000"/>
          <w:kern w:val="0"/>
          <w:sz w:val="22"/>
          <w:szCs w:val="22"/>
          <w:u w:val="single"/>
          <w:lang w:val="es-CO" w:eastAsia="es-MX"/>
          <w14:ligatures w14:val="none"/>
        </w:rPr>
        <w:t>La autoridad municipal o distrital que otorgue el permiso para la realización del espectáculo, deberá exigir previamente el importe efectivo del impuesto o la garantía bancaria o de seguros correspondiente, la cual será exigible dentro de las 24 horas siguientes a la realización del espectáculo. El valor efectivo del impuesto, será invertido por el municipio o distrito de conformidad con lo establecido en el artículo 70 de la presente Ley</w:t>
      </w:r>
      <w:r w:rsidRPr="00300C94">
        <w:rPr>
          <w:rFonts w:ascii="Verdana" w:eastAsia="Times New Roman" w:hAnsi="Verdana" w:cs="Times New Roman"/>
          <w:color w:val="000000"/>
          <w:kern w:val="0"/>
          <w:sz w:val="22"/>
          <w:szCs w:val="22"/>
          <w:lang w:val="es-CO" w:eastAsia="es-MX"/>
          <w14:ligatures w14:val="none"/>
        </w:rPr>
        <w:t>. (…)”</w:t>
      </w:r>
      <w:r w:rsidRPr="00300C94">
        <w:rPr>
          <w:rFonts w:ascii="Verdana" w:eastAsia="Times New Roman" w:hAnsi="Verdana" w:cs="Times New Roman"/>
          <w:color w:val="000000"/>
          <w:kern w:val="0"/>
          <w:lang w:val="es-CO" w:eastAsia="es-MX"/>
          <w14:ligatures w14:val="none"/>
        </w:rPr>
        <w:t xml:space="preserve"> (Énfasis añadidlo (sic))</w:t>
      </w:r>
    </w:p>
    <w:p w14:paraId="5DA78A87" w14:textId="77777777" w:rsidR="00300C94" w:rsidRPr="00300C94" w:rsidRDefault="00300C94" w:rsidP="00300C94">
      <w:pPr>
        <w:rPr>
          <w:rFonts w:ascii="Times New Roman" w:eastAsia="Times New Roman" w:hAnsi="Times New Roman" w:cs="Times New Roman"/>
          <w:kern w:val="0"/>
          <w:lang w:val="es-CO" w:eastAsia="es-MX"/>
          <w14:ligatures w14:val="none"/>
        </w:rPr>
      </w:pPr>
    </w:p>
    <w:p w14:paraId="7F7A4783" w14:textId="77777777" w:rsidR="00300C94" w:rsidRPr="00300C94" w:rsidRDefault="00300C94" w:rsidP="00300C94">
      <w:pPr>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color w:val="000000"/>
          <w:kern w:val="0"/>
          <w:lang w:val="es-CO" w:eastAsia="es-MX"/>
          <w14:ligatures w14:val="none"/>
        </w:rPr>
        <w:lastRenderedPageBreak/>
        <w:t>A partir de lo anterior, puede válidamente colegirse que el recaudo del impuesto, así como la ejecución del recurso están a cargo de las autoridades municipales, lo que consecuentemente permite entender que son los municipios quienes fungen como sujetos activos del impuesto con todas las atribuciones que tal calidad les otorga para su administración y control que incluye entonces además del recaudo, su fiscalización, liquidación oficial y cobro coactivo.</w:t>
      </w:r>
    </w:p>
    <w:p w14:paraId="11167111" w14:textId="77777777" w:rsidR="00300C94" w:rsidRPr="00300C94" w:rsidRDefault="00300C94" w:rsidP="00300C94">
      <w:pPr>
        <w:rPr>
          <w:rFonts w:ascii="Times New Roman" w:eastAsia="Times New Roman" w:hAnsi="Times New Roman" w:cs="Times New Roman"/>
          <w:kern w:val="0"/>
          <w:lang w:val="es-CO" w:eastAsia="es-MX"/>
          <w14:ligatures w14:val="none"/>
        </w:rPr>
      </w:pPr>
    </w:p>
    <w:p w14:paraId="24FC520C" w14:textId="77777777" w:rsidR="00300C94" w:rsidRPr="00300C94" w:rsidRDefault="00300C94" w:rsidP="00300C94">
      <w:pPr>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color w:val="000000"/>
          <w:kern w:val="0"/>
          <w:lang w:val="es-CO" w:eastAsia="es-MX"/>
          <w14:ligatures w14:val="none"/>
        </w:rPr>
        <w:t>Lo anterior fundado en los diferentes entendimientos que de sujeto activo ofrece la Corte Constitucional en la Sentencia C-987 de 1999, así:</w:t>
      </w:r>
    </w:p>
    <w:p w14:paraId="7EE46B06" w14:textId="77777777" w:rsidR="00300C94" w:rsidRPr="00300C94" w:rsidRDefault="00300C94" w:rsidP="00300C94">
      <w:pPr>
        <w:rPr>
          <w:rFonts w:ascii="Times New Roman" w:eastAsia="Times New Roman" w:hAnsi="Times New Roman" w:cs="Times New Roman"/>
          <w:kern w:val="0"/>
          <w:lang w:val="es-CO" w:eastAsia="es-MX"/>
          <w14:ligatures w14:val="none"/>
        </w:rPr>
      </w:pPr>
    </w:p>
    <w:p w14:paraId="1BEACF20" w14:textId="77777777" w:rsidR="00300C94" w:rsidRPr="00300C94" w:rsidRDefault="00300C94" w:rsidP="00300C94">
      <w:pPr>
        <w:ind w:left="720"/>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i/>
          <w:iCs/>
          <w:color w:val="000000"/>
          <w:kern w:val="0"/>
          <w:sz w:val="22"/>
          <w:szCs w:val="22"/>
          <w:lang w:val="es-CO" w:eastAsia="es-MX"/>
          <w14:ligatures w14:val="none"/>
        </w:rPr>
        <w:t>“[…] 17- La Corte considera que la anterior diferencia de opiniones entre los intervinientes deriva de un diverso entendimiento que esas intervenciones confieren a la noción de sujeto activo. Así, algunos consideran que el sujeto activo es el beneficiario final de los recursos recaudados, por lo cual, debe entenderse que son los municipios productores, pues la norma establece que esos recursos serán destinados con exclusividad para los municipios productores. En cambio, otro de los intervinientes señala que el sujeto activo es la Nación, por cuanto las autoridades centrales mantienen la regulación del tributo, que fue integralmente creado por la ley, por lo cual este impuesto no es municipal sino nacional. Finalmente, el artículo 6º de la Ley 366 de 1997, con el fin de evitar la evasión que se estaba presentando en este campo, atribuye a una autoridad nacional, a saber, el Ministerio de Minas y Energía, la facultad de recaudar, distribuir y transferir a los municipios. Por ende, aunque ninguno de los actores lo menciona expresamente, pero algunos lo sugieren, podría considerarse que esta autoridad nacional es el verdadero sujeto activo, ya que esa entidad es el acreedor de esa obligación y tiene la facultad de exigir su pago.</w:t>
      </w:r>
    </w:p>
    <w:p w14:paraId="1A18C18A" w14:textId="77777777" w:rsidR="00300C94" w:rsidRPr="00300C94" w:rsidRDefault="00300C94" w:rsidP="00300C94">
      <w:pPr>
        <w:rPr>
          <w:rFonts w:ascii="Times New Roman" w:eastAsia="Times New Roman" w:hAnsi="Times New Roman" w:cs="Times New Roman"/>
          <w:kern w:val="0"/>
          <w:lang w:val="es-CO" w:eastAsia="es-MX"/>
          <w14:ligatures w14:val="none"/>
        </w:rPr>
      </w:pPr>
    </w:p>
    <w:p w14:paraId="42C5867A" w14:textId="77777777" w:rsidR="00300C94" w:rsidRPr="00300C94" w:rsidRDefault="00300C94" w:rsidP="00300C94">
      <w:pPr>
        <w:ind w:left="720"/>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i/>
          <w:iCs/>
          <w:color w:val="000000"/>
          <w:kern w:val="0"/>
          <w:sz w:val="22"/>
          <w:szCs w:val="22"/>
          <w:lang w:val="es-CO" w:eastAsia="es-MX"/>
          <w14:ligatures w14:val="none"/>
        </w:rPr>
        <w:t xml:space="preserve">18- </w:t>
      </w:r>
      <w:r w:rsidRPr="00300C94">
        <w:rPr>
          <w:rFonts w:ascii="Verdana" w:eastAsia="Times New Roman" w:hAnsi="Verdana" w:cs="Times New Roman"/>
          <w:b/>
          <w:bCs/>
          <w:i/>
          <w:iCs/>
          <w:color w:val="000000"/>
          <w:kern w:val="0"/>
          <w:sz w:val="22"/>
          <w:szCs w:val="22"/>
          <w:u w:val="single"/>
          <w:lang w:val="es-CO" w:eastAsia="es-MX"/>
          <w14:ligatures w14:val="none"/>
        </w:rPr>
        <w:t xml:space="preserve">Esta Corporación considera que esos diversos entendimientos permiten precisar el significado de la noción de sujeto activo y el alcance del mandato del artículo 338 de la Carta, según el cual, los actos que crean los tributos deben precisar el sujeto activo del impuesto. En efecto, conforme al anterior análisis, y de acuerdo a ciertas distinciones elaboradas por la doctrina tributaria, es posible atribuir tres significados a la noción de sujeto activo de un tributo. Así, de un lado, es posible hablar del sujeto activo de la potestad tributaria, que es la autoridad que tiene la facultad de crear y regular un determinado impuesto. De otro lado, es posible hablar del sujeto activo de la obligación tributaria, que es el acreedor concreto de la suma </w:t>
      </w:r>
      <w:proofErr w:type="spellStart"/>
      <w:r w:rsidRPr="00300C94">
        <w:rPr>
          <w:rFonts w:ascii="Verdana" w:eastAsia="Times New Roman" w:hAnsi="Verdana" w:cs="Times New Roman"/>
          <w:b/>
          <w:bCs/>
          <w:i/>
          <w:iCs/>
          <w:color w:val="000000"/>
          <w:kern w:val="0"/>
          <w:sz w:val="22"/>
          <w:szCs w:val="22"/>
          <w:u w:val="single"/>
          <w:lang w:val="es-CO" w:eastAsia="es-MX"/>
          <w14:ligatures w14:val="none"/>
        </w:rPr>
        <w:t>pecunaria</w:t>
      </w:r>
      <w:proofErr w:type="spellEnd"/>
      <w:r w:rsidRPr="00300C94">
        <w:rPr>
          <w:rFonts w:ascii="Verdana" w:eastAsia="Times New Roman" w:hAnsi="Verdana" w:cs="Times New Roman"/>
          <w:b/>
          <w:bCs/>
          <w:i/>
          <w:iCs/>
          <w:color w:val="000000"/>
          <w:kern w:val="0"/>
          <w:sz w:val="22"/>
          <w:szCs w:val="22"/>
          <w:u w:val="single"/>
          <w:lang w:val="es-CO" w:eastAsia="es-MX"/>
          <w14:ligatures w14:val="none"/>
        </w:rPr>
        <w:t xml:space="preserve"> en que, en general se concreta el tributo, y quien tiene entonces la facultad de exigir esa prestación. Y</w:t>
      </w:r>
      <w:r w:rsidRPr="00300C94">
        <w:rPr>
          <w:rFonts w:ascii="Verdana" w:eastAsia="Times New Roman" w:hAnsi="Verdana" w:cs="Times New Roman"/>
          <w:b/>
          <w:bCs/>
          <w:color w:val="000000"/>
          <w:kern w:val="0"/>
          <w:u w:val="single"/>
          <w:lang w:val="es-CO" w:eastAsia="es-MX"/>
          <w14:ligatures w14:val="none"/>
        </w:rPr>
        <w:t xml:space="preserve"> </w:t>
      </w:r>
      <w:r w:rsidRPr="00300C94">
        <w:rPr>
          <w:rFonts w:ascii="Verdana" w:eastAsia="Times New Roman" w:hAnsi="Verdana" w:cs="Times New Roman"/>
          <w:b/>
          <w:bCs/>
          <w:i/>
          <w:iCs/>
          <w:color w:val="000000"/>
          <w:kern w:val="0"/>
          <w:sz w:val="22"/>
          <w:szCs w:val="22"/>
          <w:u w:val="single"/>
          <w:lang w:val="es-CO" w:eastAsia="es-MX"/>
          <w14:ligatures w14:val="none"/>
        </w:rPr>
        <w:t>finalmente, podemos hablar del beneficiario del tributo, que es la entidad que finalmente puede disponer de esos recursos.</w:t>
      </w:r>
    </w:p>
    <w:p w14:paraId="2EC4CAC4" w14:textId="77777777" w:rsidR="00300C94" w:rsidRPr="00300C94" w:rsidRDefault="00300C94" w:rsidP="00300C94">
      <w:pPr>
        <w:rPr>
          <w:rFonts w:ascii="Times New Roman" w:eastAsia="Times New Roman" w:hAnsi="Times New Roman" w:cs="Times New Roman"/>
          <w:kern w:val="0"/>
          <w:lang w:val="es-CO" w:eastAsia="es-MX"/>
          <w14:ligatures w14:val="none"/>
        </w:rPr>
      </w:pPr>
    </w:p>
    <w:p w14:paraId="4EA38FE1" w14:textId="77777777" w:rsidR="00300C94" w:rsidRPr="00300C94" w:rsidRDefault="00300C94" w:rsidP="00300C94">
      <w:pPr>
        <w:ind w:left="720"/>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i/>
          <w:iCs/>
          <w:color w:val="000000"/>
          <w:kern w:val="0"/>
          <w:sz w:val="22"/>
          <w:szCs w:val="22"/>
          <w:lang w:val="es-CO" w:eastAsia="es-MX"/>
          <w14:ligatures w14:val="none"/>
        </w:rPr>
        <w:lastRenderedPageBreak/>
        <w:t>Ahora bien, aunque a veces, en determinados tributos, una misma entidad ocupa simultáneamente estas tres posiciones, la Corte considera que es necesario distinguirlas, pues juegan un diverso papel constitucional, y en ocasiones suelen no coincidir.</w:t>
      </w:r>
    </w:p>
    <w:p w14:paraId="73D379EF" w14:textId="77777777" w:rsidR="00300C94" w:rsidRPr="00300C94" w:rsidRDefault="00300C94" w:rsidP="00300C94">
      <w:pPr>
        <w:rPr>
          <w:rFonts w:ascii="Times New Roman" w:eastAsia="Times New Roman" w:hAnsi="Times New Roman" w:cs="Times New Roman"/>
          <w:kern w:val="0"/>
          <w:lang w:val="es-CO" w:eastAsia="es-MX"/>
          <w14:ligatures w14:val="none"/>
        </w:rPr>
      </w:pPr>
    </w:p>
    <w:p w14:paraId="12F9C5CE" w14:textId="77777777" w:rsidR="00300C94" w:rsidRPr="00300C94" w:rsidRDefault="00300C94" w:rsidP="00300C94">
      <w:pPr>
        <w:ind w:left="720"/>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i/>
          <w:iCs/>
          <w:color w:val="000000"/>
          <w:kern w:val="0"/>
          <w:sz w:val="22"/>
          <w:szCs w:val="22"/>
          <w:lang w:val="es-CO" w:eastAsia="es-MX"/>
          <w14:ligatures w14:val="none"/>
        </w:rPr>
        <w:t xml:space="preserve">Así, la determinación de cuál es el sujeto activo de la potestad tributaria es útil no sólo para efectos del ejercicio de control político por la ciudadanía sino también para poder precisar la naturaleza territorial o nacional de un tributo, y en especial si estamos frente a una renta endógena o exógena de una entidad territorial, puesto que esta Corporación ha señalado que el llamado criterio orgánico es un elemento importante en este análisis. A su vez, este examen es esencial para elucidar hasta </w:t>
      </w:r>
      <w:proofErr w:type="spellStart"/>
      <w:r w:rsidRPr="00300C94">
        <w:rPr>
          <w:rFonts w:ascii="Verdana" w:eastAsia="Times New Roman" w:hAnsi="Verdana" w:cs="Times New Roman"/>
          <w:i/>
          <w:iCs/>
          <w:color w:val="000000"/>
          <w:kern w:val="0"/>
          <w:sz w:val="22"/>
          <w:szCs w:val="22"/>
          <w:lang w:val="es-CO" w:eastAsia="es-MX"/>
          <w14:ligatures w14:val="none"/>
        </w:rPr>
        <w:t>que</w:t>
      </w:r>
      <w:proofErr w:type="spellEnd"/>
      <w:r w:rsidRPr="00300C94">
        <w:rPr>
          <w:rFonts w:ascii="Verdana" w:eastAsia="Times New Roman" w:hAnsi="Verdana" w:cs="Times New Roman"/>
          <w:i/>
          <w:iCs/>
          <w:color w:val="000000"/>
          <w:kern w:val="0"/>
          <w:sz w:val="22"/>
          <w:szCs w:val="22"/>
          <w:lang w:val="es-CO" w:eastAsia="es-MX"/>
          <w14:ligatures w14:val="none"/>
        </w:rPr>
        <w:t xml:space="preserve"> punto puede la ley definir la orientación específica de estos recursos pues en el caso de las fuentes endógenas, o propias, de financiación, la posibilidad de intervención de la ley es mucho menor que en relación con las fuentes exógenas, pues las primeros constituyen recursos propios de las entidades territoriales, cuya gestión independiente constituye uno de los elementos esenciales de la autonomía (CP art. 287).</w:t>
      </w:r>
    </w:p>
    <w:p w14:paraId="13262C9B" w14:textId="77777777" w:rsidR="00300C94" w:rsidRPr="00300C94" w:rsidRDefault="00300C94" w:rsidP="00300C94">
      <w:pPr>
        <w:rPr>
          <w:rFonts w:ascii="Times New Roman" w:eastAsia="Times New Roman" w:hAnsi="Times New Roman" w:cs="Times New Roman"/>
          <w:kern w:val="0"/>
          <w:lang w:val="es-CO" w:eastAsia="es-MX"/>
          <w14:ligatures w14:val="none"/>
        </w:rPr>
      </w:pPr>
    </w:p>
    <w:p w14:paraId="3A89F5B3" w14:textId="77777777" w:rsidR="00300C94" w:rsidRPr="00300C94" w:rsidRDefault="00300C94" w:rsidP="00300C94">
      <w:pPr>
        <w:ind w:left="720"/>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i/>
          <w:iCs/>
          <w:color w:val="000000"/>
          <w:kern w:val="0"/>
          <w:sz w:val="22"/>
          <w:szCs w:val="22"/>
          <w:lang w:val="es-CO" w:eastAsia="es-MX"/>
          <w14:ligatures w14:val="none"/>
        </w:rPr>
        <w:t>De otro lado, la precisión de quien es el beneficiario de un impuesto es esencial para saber al presupuesto de que entidad ingresan finalmente los dineros del tributo, con lo cual no sólo las autoridades pueden planear y ejecutar adecuadamente sus obras sino que la ciudadanía puede ejercer en mejor forma sus labores de fiscalización sobre el uso de los recursos públicos.</w:t>
      </w:r>
    </w:p>
    <w:p w14:paraId="59A3A121" w14:textId="77777777" w:rsidR="00300C94" w:rsidRPr="00300C94" w:rsidRDefault="00300C94" w:rsidP="00300C94">
      <w:pPr>
        <w:rPr>
          <w:rFonts w:ascii="Times New Roman" w:eastAsia="Times New Roman" w:hAnsi="Times New Roman" w:cs="Times New Roman"/>
          <w:kern w:val="0"/>
          <w:lang w:val="es-CO" w:eastAsia="es-MX"/>
          <w14:ligatures w14:val="none"/>
        </w:rPr>
      </w:pPr>
    </w:p>
    <w:p w14:paraId="7569454E" w14:textId="77777777" w:rsidR="00300C94" w:rsidRPr="00300C94" w:rsidRDefault="00300C94" w:rsidP="00300C94">
      <w:pPr>
        <w:ind w:left="720"/>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i/>
          <w:iCs/>
          <w:color w:val="000000"/>
          <w:kern w:val="0"/>
          <w:sz w:val="22"/>
          <w:szCs w:val="22"/>
          <w:lang w:val="es-CO" w:eastAsia="es-MX"/>
          <w14:ligatures w14:val="none"/>
        </w:rPr>
        <w:t>Finalmente, la determinación del sujeto activo de la obligación tributaria permite que el contribuyente y el responsable conozcan con exactitud cuál es la autoridad que es acreedora de la suma de dinero y por ende a quien tienen que pagar. […]</w:t>
      </w:r>
      <w:r w:rsidRPr="00300C94">
        <w:rPr>
          <w:rFonts w:ascii="Verdana" w:eastAsia="Times New Roman" w:hAnsi="Verdana" w:cs="Times New Roman"/>
          <w:color w:val="000000"/>
          <w:kern w:val="0"/>
          <w:sz w:val="22"/>
          <w:szCs w:val="22"/>
          <w:lang w:val="es-CO" w:eastAsia="es-MX"/>
          <w14:ligatures w14:val="none"/>
        </w:rPr>
        <w:t xml:space="preserve"> </w:t>
      </w:r>
      <w:r w:rsidRPr="00300C94">
        <w:rPr>
          <w:rFonts w:ascii="Verdana" w:eastAsia="Times New Roman" w:hAnsi="Verdana" w:cs="Times New Roman"/>
          <w:i/>
          <w:iCs/>
          <w:color w:val="000000"/>
          <w:kern w:val="0"/>
          <w:sz w:val="22"/>
          <w:szCs w:val="22"/>
          <w:lang w:val="es-CO" w:eastAsia="es-MX"/>
          <w14:ligatures w14:val="none"/>
        </w:rPr>
        <w:t>(Énfasis añadido)</w:t>
      </w:r>
    </w:p>
    <w:p w14:paraId="6294A4C4" w14:textId="77777777" w:rsidR="00300C94" w:rsidRPr="00300C94" w:rsidRDefault="00300C94" w:rsidP="00300C94">
      <w:pPr>
        <w:rPr>
          <w:rFonts w:ascii="Times New Roman" w:eastAsia="Times New Roman" w:hAnsi="Times New Roman" w:cs="Times New Roman"/>
          <w:kern w:val="0"/>
          <w:lang w:val="es-CO" w:eastAsia="es-MX"/>
          <w14:ligatures w14:val="none"/>
        </w:rPr>
      </w:pPr>
    </w:p>
    <w:p w14:paraId="7B81CE8A" w14:textId="77777777" w:rsidR="00300C94" w:rsidRPr="00300C94" w:rsidRDefault="00300C94" w:rsidP="00300C94">
      <w:pPr>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color w:val="000000"/>
          <w:kern w:val="0"/>
          <w:lang w:val="es-CO" w:eastAsia="es-MX"/>
          <w14:ligatures w14:val="none"/>
        </w:rPr>
        <w:t xml:space="preserve">En ese contexto normativo y jurisprudencial, para el caso concreto del Impuesto nacional de espectáculos públicos con destino al deporte, tenemos que si bien es la Nación quien funge como sujeto activo de la potestad tributaria, no cabe duda que son los municipios y distritos quienes obran como sujeto activo de la obligación tributaria pues son los acreedores concretos de la suma </w:t>
      </w:r>
      <w:proofErr w:type="spellStart"/>
      <w:r w:rsidRPr="00300C94">
        <w:rPr>
          <w:rFonts w:ascii="Verdana" w:eastAsia="Times New Roman" w:hAnsi="Verdana" w:cs="Times New Roman"/>
          <w:color w:val="000000"/>
          <w:kern w:val="0"/>
          <w:lang w:val="es-CO" w:eastAsia="es-MX"/>
          <w14:ligatures w14:val="none"/>
        </w:rPr>
        <w:t>pecunaria</w:t>
      </w:r>
      <w:proofErr w:type="spellEnd"/>
      <w:r w:rsidRPr="00300C94">
        <w:rPr>
          <w:rFonts w:ascii="Verdana" w:eastAsia="Times New Roman" w:hAnsi="Verdana" w:cs="Times New Roman"/>
          <w:color w:val="000000"/>
          <w:kern w:val="0"/>
          <w:lang w:val="es-CO" w:eastAsia="es-MX"/>
          <w14:ligatures w14:val="none"/>
        </w:rPr>
        <w:t xml:space="preserve"> derivada del tributo y son entonces, en palabras de la Corte, quienes tienen “</w:t>
      </w:r>
      <w:r w:rsidRPr="00300C94">
        <w:rPr>
          <w:rFonts w:ascii="Verdana" w:eastAsia="Times New Roman" w:hAnsi="Verdana" w:cs="Times New Roman"/>
          <w:i/>
          <w:iCs/>
          <w:color w:val="000000"/>
          <w:kern w:val="0"/>
          <w:lang w:val="es-CO" w:eastAsia="es-MX"/>
          <w14:ligatures w14:val="none"/>
        </w:rPr>
        <w:t>la facultad de exigir esa prestación</w:t>
      </w:r>
      <w:r w:rsidRPr="00300C94">
        <w:rPr>
          <w:rFonts w:ascii="Verdana" w:eastAsia="Times New Roman" w:hAnsi="Verdana" w:cs="Times New Roman"/>
          <w:color w:val="000000"/>
          <w:kern w:val="0"/>
          <w:lang w:val="es-CO" w:eastAsia="es-MX"/>
          <w14:ligatures w14:val="none"/>
        </w:rPr>
        <w:t>”, a lo que se añade que los municipios ocupan también el papel de beneficiarios del tributo pues son las entidades que finalmente pueden disponer de esos recursos.</w:t>
      </w:r>
    </w:p>
    <w:p w14:paraId="3DDD6E15" w14:textId="77777777" w:rsidR="00300C94" w:rsidRPr="00300C94" w:rsidRDefault="00300C94" w:rsidP="00300C94">
      <w:pPr>
        <w:rPr>
          <w:rFonts w:ascii="Times New Roman" w:eastAsia="Times New Roman" w:hAnsi="Times New Roman" w:cs="Times New Roman"/>
          <w:kern w:val="0"/>
          <w:lang w:val="es-CO" w:eastAsia="es-MX"/>
          <w14:ligatures w14:val="none"/>
        </w:rPr>
      </w:pPr>
    </w:p>
    <w:p w14:paraId="72D4EF52" w14:textId="77777777" w:rsidR="00300C94" w:rsidRPr="00300C94" w:rsidRDefault="00300C94" w:rsidP="00300C94">
      <w:pPr>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color w:val="000000"/>
          <w:kern w:val="0"/>
          <w:lang w:val="es-CO" w:eastAsia="es-MX"/>
          <w14:ligatures w14:val="none"/>
        </w:rPr>
        <w:t>Siendo ello de esa manera, si bien es cierto que se trata de una renta nacional cedida a los municipios, es igualmente cierto que es a estos a quienes les asisten todas las facultades de administración y control de esa renta, dentro de las cuales y para el caso concreto se encuentran las facultades de fiscalización, liquidación oficial y cobro coactivo.</w:t>
      </w:r>
    </w:p>
    <w:p w14:paraId="6DEE18DE" w14:textId="77777777" w:rsidR="00300C94" w:rsidRPr="00300C94" w:rsidRDefault="00300C94" w:rsidP="00300C94">
      <w:pPr>
        <w:rPr>
          <w:rFonts w:ascii="Times New Roman" w:eastAsia="Times New Roman" w:hAnsi="Times New Roman" w:cs="Times New Roman"/>
          <w:kern w:val="0"/>
          <w:lang w:val="es-CO" w:eastAsia="es-MX"/>
          <w14:ligatures w14:val="none"/>
        </w:rPr>
      </w:pPr>
    </w:p>
    <w:p w14:paraId="623CF50E" w14:textId="77777777" w:rsidR="00300C94" w:rsidRPr="00300C94" w:rsidRDefault="00300C94" w:rsidP="00300C94">
      <w:pPr>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color w:val="000000"/>
          <w:kern w:val="0"/>
          <w:lang w:val="es-CO" w:eastAsia="es-MX"/>
          <w14:ligatures w14:val="none"/>
        </w:rPr>
        <w:t>Lo anterior se ve reforzado por lo expresado por la Sección Cuarta del Consejo de Estado Consejo de Estado en Sentencia del 25 de noviembre de 2004 con Radicado 14145 y ponencia de la Magistrada Ligia López Diaz, quien señaló</w:t>
      </w:r>
    </w:p>
    <w:p w14:paraId="57921664" w14:textId="77777777" w:rsidR="00300C94" w:rsidRPr="00300C94" w:rsidRDefault="00300C94" w:rsidP="00300C94">
      <w:pPr>
        <w:rPr>
          <w:rFonts w:ascii="Times New Roman" w:eastAsia="Times New Roman" w:hAnsi="Times New Roman" w:cs="Times New Roman"/>
          <w:kern w:val="0"/>
          <w:lang w:val="es-CO" w:eastAsia="es-MX"/>
          <w14:ligatures w14:val="none"/>
        </w:rPr>
      </w:pPr>
    </w:p>
    <w:p w14:paraId="1A71E148" w14:textId="77777777" w:rsidR="00300C94" w:rsidRPr="00300C94" w:rsidRDefault="00300C94" w:rsidP="00300C94">
      <w:pPr>
        <w:ind w:left="720"/>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i/>
          <w:iCs/>
          <w:color w:val="000000"/>
          <w:kern w:val="0"/>
          <w:sz w:val="22"/>
          <w:szCs w:val="22"/>
          <w:lang w:val="es-CO" w:eastAsia="es-MX"/>
          <w14:ligatures w14:val="none"/>
        </w:rPr>
        <w:t>“[…] Conforme a la reseña legislativa expuesta, y tal como lo concluyó el a quo, está claro que el impuesto de espectáculos públicos con destino al deporte, tiene carácter nacional, es decir que fue concebido por el legislador a favor de la Nación, para ser destinado a la infraestructura deportiva de todas las entidades territoriales del país y el Distrito Capital.</w:t>
      </w:r>
    </w:p>
    <w:p w14:paraId="1DDC50AA" w14:textId="77777777" w:rsidR="00300C94" w:rsidRPr="00300C94" w:rsidRDefault="00300C94" w:rsidP="00300C94">
      <w:pPr>
        <w:rPr>
          <w:rFonts w:ascii="Times New Roman" w:eastAsia="Times New Roman" w:hAnsi="Times New Roman" w:cs="Times New Roman"/>
          <w:kern w:val="0"/>
          <w:lang w:val="es-CO" w:eastAsia="es-MX"/>
          <w14:ligatures w14:val="none"/>
        </w:rPr>
      </w:pPr>
    </w:p>
    <w:p w14:paraId="280F4481" w14:textId="77777777" w:rsidR="00300C94" w:rsidRPr="00300C94" w:rsidRDefault="00300C94" w:rsidP="00300C94">
      <w:pPr>
        <w:ind w:left="720"/>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b/>
          <w:bCs/>
          <w:i/>
          <w:iCs/>
          <w:color w:val="000000"/>
          <w:kern w:val="0"/>
          <w:sz w:val="22"/>
          <w:szCs w:val="22"/>
          <w:u w:val="single"/>
          <w:lang w:val="es-CO" w:eastAsia="es-MX"/>
          <w14:ligatures w14:val="none"/>
        </w:rPr>
        <w:t>Cosa distinta es que el mismo legislador, en aplicación del principio constitucional de eficiencia del poder impositivo, haya autorizado a las entidades territoriales y el Distrito Capital, para el recaudo, administración y cobro del impuesto,</w:t>
      </w:r>
      <w:r w:rsidRPr="00300C94">
        <w:rPr>
          <w:rFonts w:ascii="Verdana" w:eastAsia="Times New Roman" w:hAnsi="Verdana" w:cs="Times New Roman"/>
          <w:b/>
          <w:bCs/>
          <w:i/>
          <w:iCs/>
          <w:color w:val="000000"/>
          <w:kern w:val="0"/>
          <w:sz w:val="22"/>
          <w:szCs w:val="22"/>
          <w:lang w:val="es-CO" w:eastAsia="es-MX"/>
          <w14:ligatures w14:val="none"/>
        </w:rPr>
        <w:t xml:space="preserve"> </w:t>
      </w:r>
      <w:r w:rsidRPr="00300C94">
        <w:rPr>
          <w:rFonts w:ascii="Verdana" w:eastAsia="Times New Roman" w:hAnsi="Verdana" w:cs="Times New Roman"/>
          <w:i/>
          <w:iCs/>
          <w:color w:val="000000"/>
          <w:kern w:val="0"/>
          <w:sz w:val="22"/>
          <w:szCs w:val="22"/>
          <w:lang w:val="es-CO" w:eastAsia="es-MX"/>
          <w14:ligatures w14:val="none"/>
        </w:rPr>
        <w:t xml:space="preserve">lo cual no le da el carácter de “renta de su propiedad”, como lo señala la norma censurada, pues tal definición implica modificar el sujeto activo del tributo, facultad que por mandato constitucional corresponde al legislador, y por la misma razón, tampoco puede interpretarse que la autorización para la administración y el recaudo del gravamen lleva implícita la de fijar los elementos esenciales del tributo. […]” </w:t>
      </w:r>
      <w:r w:rsidRPr="00300C94">
        <w:rPr>
          <w:rFonts w:ascii="Verdana" w:eastAsia="Times New Roman" w:hAnsi="Verdana" w:cs="Times New Roman"/>
          <w:color w:val="000000"/>
          <w:kern w:val="0"/>
          <w:sz w:val="22"/>
          <w:szCs w:val="22"/>
          <w:lang w:val="es-CO" w:eastAsia="es-MX"/>
          <w14:ligatures w14:val="none"/>
        </w:rPr>
        <w:t>(Énfasis añadido)</w:t>
      </w:r>
    </w:p>
    <w:p w14:paraId="6CC3CBEC" w14:textId="77777777" w:rsidR="00300C94" w:rsidRPr="00300C94" w:rsidRDefault="00300C94" w:rsidP="00300C94">
      <w:pPr>
        <w:rPr>
          <w:rFonts w:ascii="Times New Roman" w:eastAsia="Times New Roman" w:hAnsi="Times New Roman" w:cs="Times New Roman"/>
          <w:kern w:val="0"/>
          <w:lang w:val="es-CO" w:eastAsia="es-MX"/>
          <w14:ligatures w14:val="none"/>
        </w:rPr>
      </w:pPr>
    </w:p>
    <w:p w14:paraId="2E730C61" w14:textId="77777777" w:rsidR="00300C94" w:rsidRPr="00300C94" w:rsidRDefault="00300C94" w:rsidP="00300C94">
      <w:pPr>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color w:val="000000"/>
          <w:kern w:val="0"/>
          <w:lang w:val="es-CO" w:eastAsia="es-MX"/>
          <w14:ligatures w14:val="none"/>
        </w:rPr>
        <w:t>Por último, le recordamos que las respuestas emitidas por esta Dirección se ofrecen de manera general y abstracta, en los términos y con los alcances de los artículos 14- 2 y 28 del Código de Procedimiento Administrativo y de lo Contencioso Administrativo, de manera que no son obligatorias ni vinculantes y no comprometen la responsabilidad de este Ministerio.</w:t>
      </w:r>
    </w:p>
    <w:p w14:paraId="0EAEB172" w14:textId="77777777" w:rsidR="00300C94" w:rsidRPr="00300C94" w:rsidRDefault="00300C94" w:rsidP="00300C94">
      <w:pPr>
        <w:rPr>
          <w:rFonts w:ascii="Times New Roman" w:eastAsia="Times New Roman" w:hAnsi="Times New Roman" w:cs="Times New Roman"/>
          <w:kern w:val="0"/>
          <w:lang w:val="es-CO" w:eastAsia="es-MX"/>
          <w14:ligatures w14:val="none"/>
        </w:rPr>
      </w:pPr>
    </w:p>
    <w:p w14:paraId="5EDA0B79" w14:textId="77777777" w:rsidR="00300C94" w:rsidRPr="00300C94" w:rsidRDefault="00300C94" w:rsidP="00300C94">
      <w:pPr>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color w:val="000000"/>
          <w:kern w:val="0"/>
          <w:lang w:val="es-CO" w:eastAsia="es-MX"/>
          <w14:ligatures w14:val="none"/>
        </w:rPr>
        <w:t>Cordialmente</w:t>
      </w:r>
    </w:p>
    <w:p w14:paraId="6DF70F79" w14:textId="77777777" w:rsidR="00300C94" w:rsidRPr="00300C94" w:rsidRDefault="00300C94" w:rsidP="00300C94">
      <w:pPr>
        <w:rPr>
          <w:rFonts w:ascii="Times New Roman" w:eastAsia="Times New Roman" w:hAnsi="Times New Roman" w:cs="Times New Roman"/>
          <w:kern w:val="0"/>
          <w:lang w:val="es-CO" w:eastAsia="es-MX"/>
          <w14:ligatures w14:val="none"/>
        </w:rPr>
      </w:pPr>
    </w:p>
    <w:p w14:paraId="3A199217" w14:textId="77777777" w:rsidR="00300C94" w:rsidRPr="00300C94" w:rsidRDefault="00300C94" w:rsidP="00300C94">
      <w:pPr>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b/>
          <w:bCs/>
          <w:color w:val="000000"/>
          <w:kern w:val="0"/>
          <w:lang w:val="es-CO" w:eastAsia="es-MX"/>
          <w14:ligatures w14:val="none"/>
        </w:rPr>
        <w:t>Elsa Johanna Peñaloza Guzmán</w:t>
      </w:r>
    </w:p>
    <w:p w14:paraId="02063CDF" w14:textId="77777777" w:rsidR="00300C94" w:rsidRPr="00300C94" w:rsidRDefault="00300C94" w:rsidP="00300C94">
      <w:pPr>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color w:val="000000"/>
          <w:kern w:val="0"/>
          <w:lang w:val="es-CO" w:eastAsia="es-MX"/>
          <w14:ligatures w14:val="none"/>
        </w:rPr>
        <w:t>Subdirectora de Fortalecimiento Institucional Territorial (e)</w:t>
      </w:r>
    </w:p>
    <w:p w14:paraId="4459F98C" w14:textId="77777777" w:rsidR="00300C94" w:rsidRPr="00300C94" w:rsidRDefault="00300C94" w:rsidP="00300C94">
      <w:pPr>
        <w:jc w:val="both"/>
        <w:rPr>
          <w:rFonts w:ascii="Times New Roman" w:eastAsia="Times New Roman" w:hAnsi="Times New Roman" w:cs="Times New Roman"/>
          <w:kern w:val="0"/>
          <w:lang w:val="es-CO" w:eastAsia="es-MX"/>
          <w14:ligatures w14:val="none"/>
        </w:rPr>
      </w:pPr>
      <w:r w:rsidRPr="00300C94">
        <w:rPr>
          <w:rFonts w:ascii="Verdana" w:eastAsia="Times New Roman" w:hAnsi="Verdana" w:cs="Times New Roman"/>
          <w:color w:val="000000"/>
          <w:kern w:val="0"/>
          <w:lang w:val="es-CO" w:eastAsia="es-MX"/>
          <w14:ligatures w14:val="none"/>
        </w:rPr>
        <w:t>Dirección General de Apoyo Fiscal</w:t>
      </w:r>
    </w:p>
    <w:p w14:paraId="4AC75517" w14:textId="77777777" w:rsidR="00300C94" w:rsidRPr="00300C94" w:rsidRDefault="00300C94" w:rsidP="00300C94">
      <w:pPr>
        <w:rPr>
          <w:rFonts w:ascii="Times New Roman" w:eastAsia="Times New Roman" w:hAnsi="Times New Roman" w:cs="Times New Roman"/>
          <w:kern w:val="0"/>
          <w:lang w:val="es-CO" w:eastAsia="es-MX"/>
          <w14:ligatures w14:val="none"/>
        </w:rPr>
      </w:pPr>
    </w:p>
    <w:p w14:paraId="1CF64F7B"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C94"/>
    <w:rsid w:val="000B2285"/>
    <w:rsid w:val="00284D72"/>
    <w:rsid w:val="00300C94"/>
    <w:rsid w:val="00537D8F"/>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037E5786"/>
  <w14:defaultImageDpi w14:val="32767"/>
  <w15:chartTrackingRefBased/>
  <w15:docId w15:val="{110C57C4-D38E-F141-B17E-9E903E7AD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00C9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300C9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300C94"/>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300C94"/>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300C94"/>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300C94"/>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00C94"/>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00C94"/>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00C94"/>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00C94"/>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300C94"/>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300C94"/>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300C94"/>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300C94"/>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300C9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00C9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00C9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00C94"/>
    <w:rPr>
      <w:rFonts w:eastAsiaTheme="majorEastAsia" w:cstheme="majorBidi"/>
      <w:color w:val="272727" w:themeColor="text1" w:themeTint="D8"/>
    </w:rPr>
  </w:style>
  <w:style w:type="paragraph" w:styleId="Ttulo">
    <w:name w:val="Title"/>
    <w:basedOn w:val="Normal"/>
    <w:next w:val="Normal"/>
    <w:link w:val="TtuloCar"/>
    <w:uiPriority w:val="10"/>
    <w:qFormat/>
    <w:rsid w:val="00300C94"/>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00C9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00C94"/>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00C9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00C94"/>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300C94"/>
    <w:rPr>
      <w:i/>
      <w:iCs/>
      <w:color w:val="404040" w:themeColor="text1" w:themeTint="BF"/>
    </w:rPr>
  </w:style>
  <w:style w:type="paragraph" w:styleId="Prrafodelista">
    <w:name w:val="List Paragraph"/>
    <w:basedOn w:val="Normal"/>
    <w:uiPriority w:val="34"/>
    <w:qFormat/>
    <w:rsid w:val="00300C94"/>
    <w:pPr>
      <w:ind w:left="720"/>
      <w:contextualSpacing/>
    </w:pPr>
  </w:style>
  <w:style w:type="character" w:styleId="nfasisintenso">
    <w:name w:val="Intense Emphasis"/>
    <w:basedOn w:val="Fuentedeprrafopredeter"/>
    <w:uiPriority w:val="21"/>
    <w:qFormat/>
    <w:rsid w:val="00300C94"/>
    <w:rPr>
      <w:i/>
      <w:iCs/>
      <w:color w:val="2F5496" w:themeColor="accent1" w:themeShade="BF"/>
    </w:rPr>
  </w:style>
  <w:style w:type="paragraph" w:styleId="Citadestacada">
    <w:name w:val="Intense Quote"/>
    <w:basedOn w:val="Normal"/>
    <w:next w:val="Normal"/>
    <w:link w:val="CitadestacadaCar"/>
    <w:uiPriority w:val="30"/>
    <w:qFormat/>
    <w:rsid w:val="00300C9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300C94"/>
    <w:rPr>
      <w:i/>
      <w:iCs/>
      <w:color w:val="2F5496" w:themeColor="accent1" w:themeShade="BF"/>
    </w:rPr>
  </w:style>
  <w:style w:type="character" w:styleId="Referenciaintensa">
    <w:name w:val="Intense Reference"/>
    <w:basedOn w:val="Fuentedeprrafopredeter"/>
    <w:uiPriority w:val="32"/>
    <w:qFormat/>
    <w:rsid w:val="00300C94"/>
    <w:rPr>
      <w:b/>
      <w:bCs/>
      <w:smallCaps/>
      <w:color w:val="2F5496" w:themeColor="accent1" w:themeShade="BF"/>
      <w:spacing w:val="5"/>
    </w:rPr>
  </w:style>
  <w:style w:type="paragraph" w:styleId="NormalWeb">
    <w:name w:val="Normal (Web)"/>
    <w:basedOn w:val="Normal"/>
    <w:uiPriority w:val="99"/>
    <w:semiHidden/>
    <w:unhideWhenUsed/>
    <w:rsid w:val="00300C94"/>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300C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1460</Words>
  <Characters>8036</Characters>
  <Application>Microsoft Office Word</Application>
  <DocSecurity>0</DocSecurity>
  <Lines>66</Lines>
  <Paragraphs>18</Paragraphs>
  <ScaleCrop>false</ScaleCrop>
  <Company/>
  <LinksUpToDate>false</LinksUpToDate>
  <CharactersWithSpaces>9478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cote</dc:creator>
  <cp:keywords/>
  <dc:description/>
  <cp:lastModifiedBy>gustavo cote</cp:lastModifiedBy>
  <cp:revision>1</cp:revision>
  <dcterms:created xsi:type="dcterms:W3CDTF">2025-10-03T21:42:00Z</dcterms:created>
  <dcterms:modified xsi:type="dcterms:W3CDTF">2025-10-03T21:43:00Z</dcterms:modified>
</cp:coreProperties>
</file>