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FDEEE"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CONCEPTO 2718 DEL 16 DE ENERO DE 2025</w:t>
      </w:r>
    </w:p>
    <w:p w14:paraId="7C684B6A"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DIRECCIÓN DE APOYO FISCAL -DAF-</w:t>
      </w:r>
    </w:p>
    <w:p w14:paraId="4822248F"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60E14FF3"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Bogotá D.C.,</w:t>
      </w:r>
    </w:p>
    <w:p w14:paraId="3EC4FA7D"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5CA65C1"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Señora</w:t>
      </w:r>
    </w:p>
    <w:p w14:paraId="60AE5682"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Myriam Cristina Rodríguez Devia</w:t>
      </w:r>
    </w:p>
    <w:p w14:paraId="1B399850"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Directora Financiera de Rentas e Ingresos</w:t>
      </w:r>
    </w:p>
    <w:p w14:paraId="0B94FBCC"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Gobernación del Tolima</w:t>
      </w:r>
    </w:p>
    <w:p w14:paraId="6D8C8691"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u w:val="single"/>
          <w:lang w:val="es-CO" w:eastAsia="es-MX"/>
          <w14:ligatures w14:val="none"/>
        </w:rPr>
        <w:t>direccion.rentas@tolima.gov.co</w:t>
      </w:r>
    </w:p>
    <w:p w14:paraId="43135120"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571C1A68" w14:textId="77777777" w:rsidR="00F1568B" w:rsidRPr="00F1568B" w:rsidRDefault="00F1568B" w:rsidP="00F1568B">
      <w:pPr>
        <w:jc w:val="right"/>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Radicado entrada 1-2024-125722</w:t>
      </w:r>
    </w:p>
    <w:p w14:paraId="6C2DE331" w14:textId="77777777" w:rsidR="00F1568B" w:rsidRPr="00F1568B" w:rsidRDefault="00F1568B" w:rsidP="00F1568B">
      <w:pPr>
        <w:jc w:val="right"/>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No. Expediente 488/2025/GEA</w:t>
      </w:r>
    </w:p>
    <w:p w14:paraId="3771BFB8"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1D4C57F"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Tema:</w:t>
      </w:r>
      <w:r w:rsidRPr="00F1568B">
        <w:rPr>
          <w:rFonts w:ascii="Verdana" w:eastAsia="Times New Roman" w:hAnsi="Verdana" w:cs="Times New Roman"/>
          <w:b/>
          <w:bCs/>
          <w:color w:val="000000"/>
          <w:kern w:val="0"/>
          <w:lang w:val="es-CO" w:eastAsia="es-MX"/>
          <w14:ligatures w14:val="none"/>
        </w:rPr>
        <w:tab/>
      </w:r>
      <w:r w:rsidRPr="00F1568B">
        <w:rPr>
          <w:rFonts w:ascii="Verdana" w:eastAsia="Times New Roman" w:hAnsi="Verdana" w:cs="Times New Roman"/>
          <w:color w:val="000000"/>
          <w:kern w:val="0"/>
          <w:lang w:val="es-CO" w:eastAsia="es-MX"/>
          <w14:ligatures w14:val="none"/>
        </w:rPr>
        <w:t>Rentas destinadas al sector salud</w:t>
      </w:r>
    </w:p>
    <w:p w14:paraId="7AA94FD5"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Subtema:</w:t>
      </w:r>
      <w:r w:rsidRPr="00F1568B">
        <w:rPr>
          <w:rFonts w:ascii="Verdana" w:eastAsia="Times New Roman" w:hAnsi="Verdana" w:cs="Times New Roman"/>
          <w:b/>
          <w:bCs/>
          <w:color w:val="000000"/>
          <w:kern w:val="0"/>
          <w:lang w:val="es-CO" w:eastAsia="es-MX"/>
          <w14:ligatures w14:val="none"/>
        </w:rPr>
        <w:tab/>
      </w:r>
      <w:r w:rsidRPr="00F1568B">
        <w:rPr>
          <w:rFonts w:ascii="Verdana" w:eastAsia="Times New Roman" w:hAnsi="Verdana" w:cs="Times New Roman"/>
          <w:color w:val="000000"/>
          <w:kern w:val="0"/>
          <w:lang w:val="es-CO" w:eastAsia="es-MX"/>
          <w14:ligatures w14:val="none"/>
        </w:rPr>
        <w:t>Declaración y pago</w:t>
      </w:r>
    </w:p>
    <w:p w14:paraId="4C688F25"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62486684"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Respetada Señora Rodríguez:</w:t>
      </w:r>
    </w:p>
    <w:p w14:paraId="0E91BB42"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07C99CA3"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Mediante escrito radicado en este Ministerio con el número y fecha del asunto, después de hacer referencia a las normas del Decreto 780 de 2016 que gobiernan la liquidación, declaración y pago de recursos destinados a la salud provenientes de los juegos de lotería, rifas y promocionales, y de los impuestos a ganadores de loterías, y de loterías foráneas, consulta:</w:t>
      </w:r>
    </w:p>
    <w:p w14:paraId="5C8ABB88"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51493196"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w:t>
      </w:r>
      <w:r w:rsidRPr="00F1568B">
        <w:rPr>
          <w:rFonts w:ascii="Verdana" w:eastAsia="Times New Roman" w:hAnsi="Verdana" w:cs="Times New Roman"/>
          <w:i/>
          <w:iCs/>
          <w:color w:val="000000"/>
          <w:kern w:val="0"/>
          <w:lang w:val="es-CO" w:eastAsia="es-MX"/>
          <w14:ligatures w14:val="none"/>
        </w:rPr>
        <w:t>Los recursos con destino a Colciencias de los que habla el Decreto 780 de 2016, deben ser girados por los operadores y responsables de declarar directamente al Departamento Administrativo de Ciencia, Tecnología e Innovación (Colciencias), o si por el contrario, estos recursos deben ingresar a la cuenta que la entidad territorial disponga para posteriormente ser transferidos a la entidad respectiva</w:t>
      </w:r>
      <w:r w:rsidRPr="00F1568B">
        <w:rPr>
          <w:rFonts w:ascii="Verdana" w:eastAsia="Times New Roman" w:hAnsi="Verdana" w:cs="Times New Roman"/>
          <w:color w:val="000000"/>
          <w:kern w:val="0"/>
          <w:lang w:val="es-CO" w:eastAsia="es-MX"/>
          <w14:ligatures w14:val="none"/>
        </w:rPr>
        <w:t>”.</w:t>
      </w:r>
    </w:p>
    <w:p w14:paraId="000037E4"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36CC4A0"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Para efectos de esta respuesta, nos referiremos inicialmente a las rentas de naturaleza monopolística (derivadas del monopolio de juegos de suerte y azar) referidas en su escrito, esto es juego de loterías, juego de rifas y juegos promocionales, y; posteriormente a las rentas de naturaleza tributaria, esto es el impuesto a ganadores de lotería, y el impuesto de loterías foráneas.</w:t>
      </w:r>
    </w:p>
    <w:p w14:paraId="1EBFFAB5"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4601A514"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En ese orden, respecto de la liquidación, declaración y pago de los derechos de explotación de las rentas derivadas de los juegos de suerte y azar el artículo 41 de la Ley 643 de 2001, establece.</w:t>
      </w:r>
    </w:p>
    <w:p w14:paraId="4826DA5D"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1594036B"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lastRenderedPageBreak/>
        <w:t xml:space="preserve">“Artículo 41. Liquidación, declaración y pago de los derechos de explotación. Sin perjuicio del anticipo, los concesionarios y los autorizados para operar juegos de suerte y azar tendrán la obligación de liquidar, declarar y pagar los derechos de explotación mensualmente </w:t>
      </w:r>
      <w:r w:rsidRPr="00F1568B">
        <w:rPr>
          <w:rFonts w:ascii="Verdana" w:eastAsia="Times New Roman" w:hAnsi="Verdana" w:cs="Times New Roman"/>
          <w:b/>
          <w:bCs/>
          <w:color w:val="000000"/>
          <w:kern w:val="0"/>
          <w:sz w:val="22"/>
          <w:szCs w:val="22"/>
          <w:u w:val="single"/>
          <w:lang w:val="es-CO" w:eastAsia="es-MX"/>
          <w14:ligatures w14:val="none"/>
        </w:rPr>
        <w:t>ante la entidad competente para la administración del respectivo juego del monopolio o las autoridades departamentales, distritales o municipales</w:t>
      </w:r>
      <w:r w:rsidRPr="00F1568B">
        <w:rPr>
          <w:rFonts w:ascii="Verdana" w:eastAsia="Times New Roman" w:hAnsi="Verdana" w:cs="Times New Roman"/>
          <w:color w:val="000000"/>
          <w:kern w:val="0"/>
          <w:sz w:val="22"/>
          <w:szCs w:val="22"/>
          <w:lang w:val="es-CO" w:eastAsia="es-MX"/>
          <w14:ligatures w14:val="none"/>
        </w:rPr>
        <w:t>, según el caso.</w:t>
      </w:r>
    </w:p>
    <w:p w14:paraId="6A53ED58"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0C54221"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La declaración y el pago deberán realizarse dentro de los primeros diez (10) días hábiles del mes siguiente a su recaudo, y contendrá la liquidación de los derechos de explotación causados en el mes inmediatamente anterior.</w:t>
      </w:r>
    </w:p>
    <w:p w14:paraId="1A86BAD1"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DB99AB3"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La declaración se presentará en los formularios que para el efecto determine el reglamento, expedido por el Gobierno Nacional.</w:t>
      </w:r>
    </w:p>
    <w:p w14:paraId="14709667"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E46AAEF"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Las declaraciones de derechos de explotación y gastos de administración de los juegos de suerte y azar presentadas sin pago total no producirán efecto legal alguno, sin necesidad de acto administrativo que así lo declare.”</w:t>
      </w:r>
      <w:r w:rsidRPr="00F1568B">
        <w:rPr>
          <w:rFonts w:ascii="Verdana" w:eastAsia="Times New Roman" w:hAnsi="Verdana" w:cs="Times New Roman"/>
          <w:color w:val="000000"/>
          <w:kern w:val="0"/>
          <w:lang w:val="es-CO" w:eastAsia="es-MX"/>
          <w14:ligatures w14:val="none"/>
        </w:rPr>
        <w:t xml:space="preserve"> (Énfasis añadido)</w:t>
      </w:r>
    </w:p>
    <w:p w14:paraId="38187189"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1CC85F07"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Consecuentemente, los artículos 2.7.1.5.2. y 2.7.1.5.8. del Decreto Único 1068 de 2015, establecen:</w:t>
      </w:r>
    </w:p>
    <w:p w14:paraId="4DF2433E"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620A8819"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“Artículo 2.7.1.5.2. Declaración y pago de los derechos de explotación. En los casos en que el juego se opere </w:t>
      </w:r>
      <w:r w:rsidRPr="00F1568B">
        <w:rPr>
          <w:rFonts w:ascii="Verdana" w:eastAsia="Times New Roman" w:hAnsi="Verdana" w:cs="Times New Roman"/>
          <w:b/>
          <w:bCs/>
          <w:color w:val="000000"/>
          <w:kern w:val="0"/>
          <w:sz w:val="22"/>
          <w:szCs w:val="22"/>
          <w:u w:val="single"/>
          <w:lang w:val="es-CO" w:eastAsia="es-MX"/>
          <w14:ligatures w14:val="none"/>
        </w:rPr>
        <w:t>por intermedio de terceros</w:t>
      </w:r>
      <w:r w:rsidRPr="00F1568B">
        <w:rPr>
          <w:rFonts w:ascii="Verdana" w:eastAsia="Times New Roman" w:hAnsi="Verdana" w:cs="Times New Roman"/>
          <w:color w:val="000000"/>
          <w:kern w:val="0"/>
          <w:sz w:val="22"/>
          <w:szCs w:val="22"/>
          <w:lang w:val="es-CO" w:eastAsia="es-MX"/>
          <w14:ligatures w14:val="none"/>
        </w:rPr>
        <w:t xml:space="preserve">, dentro de los diez (10) primeros días hábiles de cada mes, </w:t>
      </w:r>
      <w:r w:rsidRPr="00F1568B">
        <w:rPr>
          <w:rFonts w:ascii="Verdana" w:eastAsia="Times New Roman" w:hAnsi="Verdana" w:cs="Times New Roman"/>
          <w:b/>
          <w:bCs/>
          <w:color w:val="000000"/>
          <w:kern w:val="0"/>
          <w:sz w:val="22"/>
          <w:szCs w:val="22"/>
          <w:u w:val="single"/>
          <w:lang w:val="es-CO" w:eastAsia="es-MX"/>
          <w14:ligatures w14:val="none"/>
        </w:rPr>
        <w:t>los concesionarios del juego de lotería liquidarán y declararán ante el concedente</w:t>
      </w:r>
      <w:r w:rsidRPr="00F1568B">
        <w:rPr>
          <w:rFonts w:ascii="Verdana" w:eastAsia="Times New Roman" w:hAnsi="Verdana" w:cs="Times New Roman"/>
          <w:b/>
          <w:bCs/>
          <w:color w:val="000000"/>
          <w:kern w:val="0"/>
          <w:sz w:val="22"/>
          <w:szCs w:val="22"/>
          <w:lang w:val="es-CO" w:eastAsia="es-MX"/>
          <w14:ligatures w14:val="none"/>
        </w:rPr>
        <w:t xml:space="preserve"> </w:t>
      </w:r>
      <w:r w:rsidRPr="00F1568B">
        <w:rPr>
          <w:rFonts w:ascii="Verdana" w:eastAsia="Times New Roman" w:hAnsi="Verdana" w:cs="Times New Roman"/>
          <w:color w:val="000000"/>
          <w:kern w:val="0"/>
          <w:sz w:val="22"/>
          <w:szCs w:val="22"/>
          <w:lang w:val="es-CO" w:eastAsia="es-MX"/>
          <w14:ligatures w14:val="none"/>
        </w:rPr>
        <w:t>los derechos de explotación causados en el mes anterior, incluidos los intereses a que haya lugar, así como los gastos de administración. Dentro del mismo plazo, los concesionarios girarán dichos recursos a los fondos de salud de las entidades territoriales correspondientes y a las entidades concedentes, respectivamente.</w:t>
      </w:r>
    </w:p>
    <w:p w14:paraId="49141A79"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348634F"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La declaración se presentará en los formularios diseñados por la Secretaría Técnica del Consejo Nacional de Juego de Suerte y Azar, o por la entidad que haga sus veces, los cuales serán suministrados por la entidad concedente. El pago de los derechos de explotación se acreditará con copia de un comprobante válido expedido por el concedente.</w:t>
      </w:r>
    </w:p>
    <w:p w14:paraId="2B168EE3"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1B74755B"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Artículo 2.7.1.5.7. Transferencia de las rentas al sector salud. </w:t>
      </w:r>
      <w:r w:rsidRPr="00F1568B">
        <w:rPr>
          <w:rFonts w:ascii="Verdana" w:eastAsia="Times New Roman" w:hAnsi="Verdana" w:cs="Times New Roman"/>
          <w:b/>
          <w:bCs/>
          <w:color w:val="000000"/>
          <w:kern w:val="0"/>
          <w:sz w:val="22"/>
          <w:szCs w:val="22"/>
          <w:u w:val="single"/>
          <w:lang w:val="es-CO" w:eastAsia="es-MX"/>
          <w14:ligatures w14:val="none"/>
        </w:rPr>
        <w:t>Los operadores</w:t>
      </w:r>
      <w:r w:rsidRPr="00F1568B">
        <w:rPr>
          <w:rFonts w:ascii="Verdana" w:eastAsia="Times New Roman" w:hAnsi="Verdana" w:cs="Times New Roman"/>
          <w:b/>
          <w:bCs/>
          <w:color w:val="000000"/>
          <w:kern w:val="0"/>
          <w:sz w:val="22"/>
          <w:szCs w:val="22"/>
          <w:lang w:val="es-CO" w:eastAsia="es-MX"/>
          <w14:ligatures w14:val="none"/>
        </w:rPr>
        <w:t xml:space="preserve"> </w:t>
      </w:r>
      <w:r w:rsidRPr="00F1568B">
        <w:rPr>
          <w:rFonts w:ascii="Verdana" w:eastAsia="Times New Roman" w:hAnsi="Verdana" w:cs="Times New Roman"/>
          <w:b/>
          <w:bCs/>
          <w:color w:val="000000"/>
          <w:kern w:val="0"/>
          <w:sz w:val="22"/>
          <w:szCs w:val="22"/>
          <w:u w:val="single"/>
          <w:lang w:val="es-CO" w:eastAsia="es-MX"/>
          <w14:ligatures w14:val="none"/>
        </w:rPr>
        <w:t>directos</w:t>
      </w:r>
      <w:r w:rsidRPr="00F1568B">
        <w:rPr>
          <w:rFonts w:ascii="Verdana" w:eastAsia="Times New Roman" w:hAnsi="Verdana" w:cs="Times New Roman"/>
          <w:b/>
          <w:bCs/>
          <w:color w:val="000000"/>
          <w:kern w:val="0"/>
          <w:sz w:val="22"/>
          <w:szCs w:val="22"/>
          <w:lang w:val="es-CO" w:eastAsia="es-MX"/>
          <w14:ligatures w14:val="none"/>
        </w:rPr>
        <w:t xml:space="preserve"> </w:t>
      </w:r>
      <w:r w:rsidRPr="00F1568B">
        <w:rPr>
          <w:rFonts w:ascii="Verdana" w:eastAsia="Times New Roman" w:hAnsi="Verdana" w:cs="Times New Roman"/>
          <w:color w:val="000000"/>
          <w:kern w:val="0"/>
          <w:sz w:val="22"/>
          <w:szCs w:val="22"/>
          <w:lang w:val="es-CO" w:eastAsia="es-MX"/>
          <w14:ligatures w14:val="none"/>
        </w:rPr>
        <w:t xml:space="preserve">del juego de lotería tradicional, dentro de los primeros diez (10) días hábiles de cada mes, </w:t>
      </w:r>
      <w:r w:rsidRPr="00F1568B">
        <w:rPr>
          <w:rFonts w:ascii="Verdana" w:eastAsia="Times New Roman" w:hAnsi="Verdana" w:cs="Times New Roman"/>
          <w:b/>
          <w:bCs/>
          <w:color w:val="000000"/>
          <w:kern w:val="0"/>
          <w:sz w:val="22"/>
          <w:szCs w:val="22"/>
          <w:u w:val="single"/>
          <w:lang w:val="es-CO" w:eastAsia="es-MX"/>
          <w14:ligatures w14:val="none"/>
        </w:rPr>
        <w:t>liquidarán y girarán a los fondos de salud de las entidades territoriales correspondientes</w:t>
      </w:r>
      <w:r w:rsidRPr="00F1568B">
        <w:rPr>
          <w:rFonts w:ascii="Verdana" w:eastAsia="Times New Roman" w:hAnsi="Verdana" w:cs="Times New Roman"/>
          <w:color w:val="000000"/>
          <w:kern w:val="0"/>
          <w:sz w:val="22"/>
          <w:szCs w:val="22"/>
          <w:lang w:val="es-CO" w:eastAsia="es-MX"/>
          <w14:ligatures w14:val="none"/>
        </w:rPr>
        <w:t>, el 12% de los ingresos brutos obtenidos por la venta del juego de lotería del mes anterior.</w:t>
      </w:r>
    </w:p>
    <w:p w14:paraId="5DC6E432"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22D3E96"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lastRenderedPageBreak/>
        <w:t>El giro deberá comunicarse a la respectiva entidad territorial dentro de los tres (3) días hábiles siguientes a la fecha de la consignación, suministrándose además la siguiente información: (…)” (Énfasis añadido)</w:t>
      </w:r>
    </w:p>
    <w:p w14:paraId="0CC6D3F7"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42BE6B8B"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Conforme con las normas trascritas, en presencia de operación por intermedio de terceros, los recursos deben ser liquidados y declarados ante la entidad concedente y posteriormente girados a los fondos de salud territoriales y a la entidad concedente, ante la Secretaría de Hacienda, y para el caso de la operación directa los recursos deben ser girados por los operadores a los fondos de salud de las entidades territoriales. De tal manera, en uno u otro caso los recursos deben ser girados a órdenes de la respectiva entidad territorial.</w:t>
      </w:r>
    </w:p>
    <w:p w14:paraId="1E3091E8"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485A4606"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En línea con lo anterior, respecto del juego de lotería, los artículos 2.6.4.2.2.1.7., 2.6.4.2.2.1.8. establecen:</w:t>
      </w:r>
    </w:p>
    <w:p w14:paraId="4A3D3EBA"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A9C4AA6"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“Artículo 2.6.4.2.2.1.7. Recursos provenientes de la operación directa del juego de lotería tradicional o de billetes - liquidación, declaración y pago y giro de la renta. De conformidad con lo previsto en el artículo 2.7.1.5.7 del Decreto 1068 de 2015, Único Reglamentario del Sector Hacienda y Crédito Público, los operadores directos del juego de lotería tradicional, dentro de los primeros diez (10) días hábiles de cada mes, deberán liquidar, declarar y pagar </w:t>
      </w:r>
      <w:r w:rsidRPr="00F1568B">
        <w:rPr>
          <w:rFonts w:ascii="Verdana" w:eastAsia="Times New Roman" w:hAnsi="Verdana" w:cs="Times New Roman"/>
          <w:b/>
          <w:bCs/>
          <w:color w:val="000000"/>
          <w:kern w:val="0"/>
          <w:sz w:val="22"/>
          <w:szCs w:val="22"/>
          <w:u w:val="single"/>
          <w:lang w:val="es-CO" w:eastAsia="es-MX"/>
          <w14:ligatures w14:val="none"/>
        </w:rPr>
        <w:t>ante la Secretaría de Hacienda de la entidad territorial que corresponda</w:t>
      </w:r>
      <w:r w:rsidRPr="00F1568B">
        <w:rPr>
          <w:rFonts w:ascii="Verdana" w:eastAsia="Times New Roman" w:hAnsi="Verdana" w:cs="Times New Roman"/>
          <w:color w:val="000000"/>
          <w:kern w:val="0"/>
          <w:sz w:val="22"/>
          <w:szCs w:val="22"/>
          <w:lang w:val="es-CO" w:eastAsia="es-MX"/>
          <w14:ligatures w14:val="none"/>
        </w:rPr>
        <w:t xml:space="preserve">, el 12% de los ingresos brutos obtenidos por la venta del juego de lotería del mes anterior, </w:t>
      </w:r>
      <w:r w:rsidRPr="00F1568B">
        <w:rPr>
          <w:rFonts w:ascii="Verdana" w:eastAsia="Times New Roman" w:hAnsi="Verdana" w:cs="Times New Roman"/>
          <w:b/>
          <w:bCs/>
          <w:color w:val="000000"/>
          <w:kern w:val="0"/>
          <w:sz w:val="22"/>
          <w:szCs w:val="22"/>
          <w:u w:val="single"/>
          <w:lang w:val="es-CO" w:eastAsia="es-MX"/>
          <w14:ligatures w14:val="none"/>
        </w:rPr>
        <w:t>detallando en los respectivos formularios, el monto a girar a cada uno de los beneficiarios</w:t>
      </w:r>
      <w:r w:rsidRPr="00F1568B">
        <w:rPr>
          <w:rFonts w:ascii="Verdana" w:eastAsia="Times New Roman" w:hAnsi="Verdana" w:cs="Times New Roman"/>
          <w:color w:val="000000"/>
          <w:kern w:val="0"/>
          <w:sz w:val="22"/>
          <w:szCs w:val="22"/>
          <w:lang w:val="es-CO" w:eastAsia="es-MX"/>
          <w14:ligatures w14:val="none"/>
        </w:rPr>
        <w:t>, así:</w:t>
      </w:r>
    </w:p>
    <w:p w14:paraId="48E89D6B" w14:textId="77777777" w:rsidR="00F1568B" w:rsidRPr="00F1568B" w:rsidRDefault="00F1568B" w:rsidP="00F1568B">
      <w:pPr>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1EEBE6EB" w14:textId="77777777" w:rsidR="00F1568B" w:rsidRPr="00F1568B" w:rsidRDefault="00F1568B" w:rsidP="00F1568B">
      <w:pPr>
        <w:numPr>
          <w:ilvl w:val="0"/>
          <w:numId w:val="1"/>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Un 7% con destino al Fondo de Investigaciones en Salud, cuenta administrada por el Departamento Administrativo de Ciencia, Tecnología e Innovación (Col- ciencias).</w:t>
      </w:r>
    </w:p>
    <w:p w14:paraId="5B067F11" w14:textId="77777777" w:rsidR="00F1568B" w:rsidRPr="00F1568B" w:rsidRDefault="00F1568B" w:rsidP="00F1568B">
      <w:pPr>
        <w:numPr>
          <w:ilvl w:val="0"/>
          <w:numId w:val="1"/>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Hasta un 25% al Fondo de Salud de la entidad territorial que corresponda, destinado al funcionamiento.</w:t>
      </w:r>
    </w:p>
    <w:p w14:paraId="234583C6" w14:textId="77777777" w:rsidR="00F1568B" w:rsidRPr="00F1568B" w:rsidRDefault="00F1568B" w:rsidP="00F1568B">
      <w:pPr>
        <w:numPr>
          <w:ilvl w:val="0"/>
          <w:numId w:val="1"/>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b/>
          <w:bCs/>
          <w:color w:val="000000"/>
          <w:kern w:val="0"/>
          <w:sz w:val="22"/>
          <w:szCs w:val="22"/>
          <w:u w:val="single"/>
          <w:lang w:val="es-CO" w:eastAsia="es-MX"/>
          <w14:ligatures w14:val="none"/>
        </w:rPr>
        <w:t>El saldo restante debe ser girado directamente por las loterías a la ADRES</w:t>
      </w:r>
      <w:r w:rsidRPr="00F1568B">
        <w:rPr>
          <w:rFonts w:ascii="Verdana" w:eastAsia="Times New Roman" w:hAnsi="Verdana" w:cs="Times New Roman"/>
          <w:color w:val="000000"/>
          <w:kern w:val="0"/>
          <w:sz w:val="22"/>
          <w:szCs w:val="22"/>
          <w:lang w:val="es-CO" w:eastAsia="es-MX"/>
          <w14:ligatures w14:val="none"/>
        </w:rPr>
        <w:t>, a nombre de la entidad territorial correspondiente, para el aseguramiento de la población afiliada al régimen subsidiado.</w:t>
      </w:r>
    </w:p>
    <w:p w14:paraId="3CDCF92E"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045020AC"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Parágrafo. Los excedentes a que hace referencia el literal b) del artículo 6° de la Ley 643 de 2001 del juego de lotería tradicional que sean destinados a salud, serán distribuidos conforme a lo definido en el presente artículo y </w:t>
      </w:r>
      <w:r w:rsidRPr="00F1568B">
        <w:rPr>
          <w:rFonts w:ascii="Verdana" w:eastAsia="Times New Roman" w:hAnsi="Verdana" w:cs="Times New Roman"/>
          <w:b/>
          <w:bCs/>
          <w:color w:val="000000"/>
          <w:kern w:val="0"/>
          <w:sz w:val="22"/>
          <w:szCs w:val="22"/>
          <w:u w:val="single"/>
          <w:lang w:val="es-CO" w:eastAsia="es-MX"/>
          <w14:ligatures w14:val="none"/>
        </w:rPr>
        <w:t>los recursos con destino al aseguramiento deben ser girados directamente a la ADRES.</w:t>
      </w:r>
    </w:p>
    <w:p w14:paraId="11021A7D"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Artículo 2.6.4.2.2.1.8. Recursos provenientes de la operación, a través de terceros, del juego de lotería tradicional - declaración, liquidación y pago de los derechos de explotación. De acuerdo a lo contemplado en los artículos 2.7.1.5.1 y 2.7.1.5.2 del Decreto 1068 de 2015, Único </w:t>
      </w:r>
      <w:r w:rsidRPr="00F1568B">
        <w:rPr>
          <w:rFonts w:ascii="Verdana" w:eastAsia="Times New Roman" w:hAnsi="Verdana" w:cs="Times New Roman"/>
          <w:color w:val="000000"/>
          <w:kern w:val="0"/>
          <w:sz w:val="22"/>
          <w:szCs w:val="22"/>
          <w:lang w:val="es-CO" w:eastAsia="es-MX"/>
          <w14:ligatures w14:val="none"/>
        </w:rPr>
        <w:lastRenderedPageBreak/>
        <w:t xml:space="preserve">Reglamentario del Sector Hacienda y Crédito Público en los casos en que el juego de lotería tradicional o de billetes se opere por intermedio de terceros, los concesionarios, dentro de los diez (10) primeros días hábiles de cada mes, deben </w:t>
      </w:r>
      <w:r w:rsidRPr="00F1568B">
        <w:rPr>
          <w:rFonts w:ascii="Verdana" w:eastAsia="Times New Roman" w:hAnsi="Verdana" w:cs="Times New Roman"/>
          <w:b/>
          <w:bCs/>
          <w:color w:val="000000"/>
          <w:kern w:val="0"/>
          <w:sz w:val="22"/>
          <w:szCs w:val="22"/>
          <w:u w:val="single"/>
          <w:lang w:val="es-CO" w:eastAsia="es-MX"/>
          <w14:ligatures w14:val="none"/>
        </w:rPr>
        <w:t>declarar, liquidar y pagar ante la entidad concedente</w:t>
      </w:r>
      <w:r w:rsidRPr="00F1568B">
        <w:rPr>
          <w:rFonts w:ascii="Verdana" w:eastAsia="Times New Roman" w:hAnsi="Verdana" w:cs="Times New Roman"/>
          <w:color w:val="000000"/>
          <w:kern w:val="0"/>
          <w:sz w:val="22"/>
          <w:szCs w:val="22"/>
          <w:lang w:val="es-CO" w:eastAsia="es-MX"/>
          <w14:ligatures w14:val="none"/>
        </w:rPr>
        <w:t>, bajo el siguiente esquema:</w:t>
      </w:r>
    </w:p>
    <w:p w14:paraId="18BEE323" w14:textId="77777777" w:rsidR="00F1568B" w:rsidRPr="00F1568B" w:rsidRDefault="00F1568B" w:rsidP="00F1568B">
      <w:pPr>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6E1C7241" w14:textId="77777777" w:rsidR="00F1568B" w:rsidRPr="00F1568B" w:rsidRDefault="00F1568B" w:rsidP="00F1568B">
      <w:pPr>
        <w:numPr>
          <w:ilvl w:val="0"/>
          <w:numId w:val="2"/>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El 17% de los ingresos brutos causados en el mes como derechos de explotación.</w:t>
      </w:r>
    </w:p>
    <w:p w14:paraId="54581ED3" w14:textId="77777777" w:rsidR="00F1568B" w:rsidRPr="00F1568B" w:rsidRDefault="00F1568B" w:rsidP="00F1568B">
      <w:pPr>
        <w:numPr>
          <w:ilvl w:val="0"/>
          <w:numId w:val="2"/>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Al valor de los derechos de explotación obtenido se deberá restar el valor del anticipo calculado del mes inmediatamente anterior, el primer pago del anticipo se realizará con base en los ingresos brutos esperados de acuerdo con el estudio de mercado de que trata en inciso tercero del artículo 2.7.1.5.3 del Decreto 1068 de 2015.</w:t>
      </w:r>
    </w:p>
    <w:p w14:paraId="53A35E31" w14:textId="77777777" w:rsidR="00F1568B" w:rsidRPr="00F1568B" w:rsidRDefault="00F1568B" w:rsidP="00F1568B">
      <w:pPr>
        <w:numPr>
          <w:ilvl w:val="0"/>
          <w:numId w:val="2"/>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La diferencia entre el valor total de los derechos liquidados en el período y el anticipo pagado en el mes anterior constituirá la compensación o el saldo de derechos de explotación a pagar por el período respectivo.</w:t>
      </w:r>
    </w:p>
    <w:p w14:paraId="3D6159F7" w14:textId="77777777" w:rsidR="00F1568B" w:rsidRPr="00F1568B" w:rsidRDefault="00F1568B" w:rsidP="00F1568B">
      <w:pPr>
        <w:numPr>
          <w:ilvl w:val="0"/>
          <w:numId w:val="2"/>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A la diferencia obtenida se le sumará al anticipo de derechos de explotación para el siguiente período, el cual será equivalente al setenta y cinco por ciento (75%) de los derechos de explotación que se declaren.</w:t>
      </w:r>
    </w:p>
    <w:p w14:paraId="5AC51C3D"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56D94340"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El valor resultante de sumar el anticipo para el período siguiente más el saldo que quede de restar de los derechos de explotación el anticipo del período anterior y restar la compensación a que hubiere lugar, deberá ser distribuido en el porcentaje asignado a cada uno de los beneficiarios del pago, así:</w:t>
      </w:r>
    </w:p>
    <w:p w14:paraId="67F5C816" w14:textId="77777777" w:rsidR="00F1568B" w:rsidRPr="00F1568B" w:rsidRDefault="00F1568B" w:rsidP="00F1568B">
      <w:pPr>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5B09EC07" w14:textId="77777777" w:rsidR="00F1568B" w:rsidRPr="00F1568B" w:rsidRDefault="00F1568B" w:rsidP="00F1568B">
      <w:pPr>
        <w:numPr>
          <w:ilvl w:val="0"/>
          <w:numId w:val="3"/>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Un 7% con destino al Fondo de Investigaciones en Salud, cuenta administrada por el Departamento Administrativo de Ciencia, Tecnología e Innovación (Col- ciencias).</w:t>
      </w:r>
    </w:p>
    <w:p w14:paraId="26B0A1EF" w14:textId="77777777" w:rsidR="00F1568B" w:rsidRPr="00F1568B" w:rsidRDefault="00F1568B" w:rsidP="00F1568B">
      <w:pPr>
        <w:numPr>
          <w:ilvl w:val="0"/>
          <w:numId w:val="3"/>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Hasta un 25% al Fondo de Salud de la entidad territorial que corresponda, destinado al funcionamiento.</w:t>
      </w:r>
    </w:p>
    <w:p w14:paraId="61411C0C" w14:textId="77777777" w:rsidR="00F1568B" w:rsidRPr="00F1568B" w:rsidRDefault="00F1568B" w:rsidP="00F1568B">
      <w:pPr>
        <w:numPr>
          <w:ilvl w:val="0"/>
          <w:numId w:val="3"/>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El saldo restante </w:t>
      </w:r>
      <w:r w:rsidRPr="00F1568B">
        <w:rPr>
          <w:rFonts w:ascii="Verdana" w:eastAsia="Times New Roman" w:hAnsi="Verdana" w:cs="Times New Roman"/>
          <w:b/>
          <w:bCs/>
          <w:color w:val="000000"/>
          <w:kern w:val="0"/>
          <w:sz w:val="22"/>
          <w:szCs w:val="22"/>
          <w:u w:val="single"/>
          <w:lang w:val="es-CO" w:eastAsia="es-MX"/>
          <w14:ligatures w14:val="none"/>
        </w:rPr>
        <w:t>debe ser girado directamente por los concesionarios a la ADRES</w:t>
      </w:r>
      <w:r w:rsidRPr="00F1568B">
        <w:rPr>
          <w:rFonts w:ascii="Verdana" w:eastAsia="Times New Roman" w:hAnsi="Verdana" w:cs="Times New Roman"/>
          <w:color w:val="000000"/>
          <w:kern w:val="0"/>
          <w:sz w:val="22"/>
          <w:szCs w:val="22"/>
          <w:lang w:val="es-CO" w:eastAsia="es-MX"/>
          <w14:ligatures w14:val="none"/>
        </w:rPr>
        <w:t>, a nombre de la Entidad territorial correspondiente para el aseguramiento de la población afiliada al Régimen subsidiado.</w:t>
      </w:r>
    </w:p>
    <w:p w14:paraId="19DDEA7A"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7179164B"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Parágrafo. Los concesionarios deberán declarar, liquidar y pagar a título de gastos de administración, el uno por ciento (1%) de los derechos de explotación liquidados para el período respectivo, conforme a lo dispuesto en el artículo 9° de la Ley 643 de 2001 o la norma que la modifique o sustituya.”</w:t>
      </w:r>
      <w:r w:rsidRPr="00F1568B">
        <w:rPr>
          <w:rFonts w:ascii="Verdana" w:eastAsia="Times New Roman" w:hAnsi="Verdana" w:cs="Times New Roman"/>
          <w:color w:val="000000"/>
          <w:kern w:val="0"/>
          <w:lang w:val="es-CO" w:eastAsia="es-MX"/>
          <w14:ligatures w14:val="none"/>
        </w:rPr>
        <w:t xml:space="preserve"> (Énfasis añadido)</w:t>
      </w:r>
    </w:p>
    <w:p w14:paraId="4D59427E"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7458B05D"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 xml:space="preserve">Conforme con el anterior marco normativo, respecto del juego de loterías, a juicio de esta Dirección, los recursos correspondientes a los derechos </w:t>
      </w:r>
      <w:r w:rsidRPr="00F1568B">
        <w:rPr>
          <w:rFonts w:ascii="Verdana" w:eastAsia="Times New Roman" w:hAnsi="Verdana" w:cs="Times New Roman"/>
          <w:color w:val="000000"/>
          <w:kern w:val="0"/>
          <w:lang w:val="es-CO" w:eastAsia="es-MX"/>
          <w14:ligatures w14:val="none"/>
        </w:rPr>
        <w:lastRenderedPageBreak/>
        <w:t>de explotación deben ser girados por los operadores, sean estos directos, o concesionarios, a órdenes de la Secretaria de Hacienda o a órdenes de la entidad concedente, según el caso, excepción hecha del saldo que reste después de haber calcular el 7% con destino a Colciencias y el porcentaje que corresponda al Fondo de Salud con un límite del 25%, saldo que deberá ser girado directamente por el operador o el concesionario, a órdenes de la ADRES a nombre de la respectiva entidad territorial. En consecuencia, en lo que hace a los recursos destinados a Colciencias y al Fondo de Salud, estos deben ser girados a esas entidades por la entidad territorial titular de las rentas.</w:t>
      </w:r>
    </w:p>
    <w:p w14:paraId="0972E2C3"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177219CD"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En lo que hace al juego de rifas y a los juegos promocionales, los artículos 2.6.4.2.2.1.12. y 2.6.4.2.2.1.13. del Decreto 780 de 2016, establecen:</w:t>
      </w:r>
    </w:p>
    <w:p w14:paraId="0F54817A"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7F7DB0B"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“Artículo 2.6.4.2.2.1.12. Recursos provenientes de la operación de las rifas - declaración, liquidación y giro de los derechos de explotación. La persona gestora de la rifa, cuando quiera que esta se realice en uno o varios municipios o distrito de un mismo departamento</w:t>
      </w:r>
      <w:r w:rsidRPr="00F1568B">
        <w:rPr>
          <w:rFonts w:ascii="Verdana" w:eastAsia="Times New Roman" w:hAnsi="Verdana" w:cs="Times New Roman"/>
          <w:b/>
          <w:bCs/>
          <w:color w:val="000000"/>
          <w:kern w:val="0"/>
          <w:sz w:val="22"/>
          <w:szCs w:val="22"/>
          <w:lang w:val="es-CO" w:eastAsia="es-MX"/>
          <w14:ligatures w14:val="none"/>
        </w:rPr>
        <w:t xml:space="preserve">, </w:t>
      </w:r>
      <w:r w:rsidRPr="00F1568B">
        <w:rPr>
          <w:rFonts w:ascii="Verdana" w:eastAsia="Times New Roman" w:hAnsi="Verdana" w:cs="Times New Roman"/>
          <w:b/>
          <w:bCs/>
          <w:color w:val="000000"/>
          <w:kern w:val="0"/>
          <w:sz w:val="22"/>
          <w:szCs w:val="22"/>
          <w:u w:val="single"/>
          <w:lang w:val="es-CO" w:eastAsia="es-MX"/>
          <w14:ligatures w14:val="none"/>
        </w:rPr>
        <w:t>liquidará, declarará y girará ante la alcaldía o la sociedad de capital público departamental</w:t>
      </w:r>
      <w:r w:rsidRPr="00F1568B">
        <w:rPr>
          <w:rFonts w:ascii="Verdana" w:eastAsia="Times New Roman" w:hAnsi="Verdana" w:cs="Times New Roman"/>
          <w:b/>
          <w:bCs/>
          <w:color w:val="000000"/>
          <w:kern w:val="0"/>
          <w:sz w:val="22"/>
          <w:szCs w:val="22"/>
          <w:lang w:val="es-CO" w:eastAsia="es-MX"/>
          <w14:ligatures w14:val="none"/>
        </w:rPr>
        <w:t xml:space="preserve"> </w:t>
      </w:r>
      <w:r w:rsidRPr="00F1568B">
        <w:rPr>
          <w:rFonts w:ascii="Verdana" w:eastAsia="Times New Roman" w:hAnsi="Verdana" w:cs="Times New Roman"/>
          <w:color w:val="000000"/>
          <w:kern w:val="0"/>
          <w:sz w:val="22"/>
          <w:szCs w:val="22"/>
          <w:lang w:val="es-CO" w:eastAsia="es-MX"/>
          <w14:ligatures w14:val="none"/>
        </w:rPr>
        <w:t>según corresponda, los derechos de explotación equivalentes a un catorce por ciento (14%) de los ingresos brutos como derechos de explotación sobre el valor del ciento por ciento (100%) de la totalidad de las boletas emitidas. Realizada la rifa la persona gestora deberá ajustar el pago de los derechos de explotación al total de la boletería vendida.</w:t>
      </w:r>
    </w:p>
    <w:p w14:paraId="3A9B17E7"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6AF0C9C3"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Dentro de los diez (10) primeros días hábiles del mes siguiente al de la realización de la rifa, </w:t>
      </w:r>
      <w:r w:rsidRPr="00F1568B">
        <w:rPr>
          <w:rFonts w:ascii="Verdana" w:eastAsia="Times New Roman" w:hAnsi="Verdana" w:cs="Times New Roman"/>
          <w:b/>
          <w:bCs/>
          <w:color w:val="000000"/>
          <w:kern w:val="0"/>
          <w:sz w:val="22"/>
          <w:szCs w:val="22"/>
          <w:u w:val="single"/>
          <w:lang w:val="es-CO" w:eastAsia="es-MX"/>
          <w14:ligatures w14:val="none"/>
        </w:rPr>
        <w:t>la autoridad que autorizó y recaudó los derechos de explotación de la rifa deberá liquidar en forma detallada, el catorce por ciento 14%. El valor liquidado debe ser distribuido y girado de acuerdo con los siguientes porcentajes</w:t>
      </w:r>
      <w:r w:rsidRPr="00F1568B">
        <w:rPr>
          <w:rFonts w:ascii="Verdana" w:eastAsia="Times New Roman" w:hAnsi="Verdana" w:cs="Times New Roman"/>
          <w:color w:val="000000"/>
          <w:kern w:val="0"/>
          <w:sz w:val="22"/>
          <w:szCs w:val="22"/>
          <w:lang w:val="es-CO" w:eastAsia="es-MX"/>
          <w14:ligatures w14:val="none"/>
        </w:rPr>
        <w:t>:</w:t>
      </w:r>
    </w:p>
    <w:p w14:paraId="32793DAB" w14:textId="77777777" w:rsidR="00F1568B" w:rsidRPr="00F1568B" w:rsidRDefault="00F1568B" w:rsidP="00F1568B">
      <w:pPr>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703F9E50" w14:textId="77777777" w:rsidR="00F1568B" w:rsidRPr="00F1568B" w:rsidRDefault="00F1568B" w:rsidP="00F1568B">
      <w:pPr>
        <w:numPr>
          <w:ilvl w:val="0"/>
          <w:numId w:val="4"/>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Un 7% con destino al Fondo de Investigaciones en Salud, cuenta administrada por el Departamento Administrativo de Ciencia, Tecnología e Innovación (Col- ciencias).</w:t>
      </w:r>
    </w:p>
    <w:p w14:paraId="53A9510E" w14:textId="77777777" w:rsidR="00F1568B" w:rsidRPr="00F1568B" w:rsidRDefault="00F1568B" w:rsidP="00F1568B">
      <w:pPr>
        <w:numPr>
          <w:ilvl w:val="0"/>
          <w:numId w:val="4"/>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Hasta un 25% al Fondo de Salud de la entidad territorial que corresponda, destinado al funcionamiento.</w:t>
      </w:r>
    </w:p>
    <w:p w14:paraId="219778CE" w14:textId="77777777" w:rsidR="00F1568B" w:rsidRPr="00F1568B" w:rsidRDefault="00F1568B" w:rsidP="00F1568B">
      <w:pPr>
        <w:numPr>
          <w:ilvl w:val="0"/>
          <w:numId w:val="4"/>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El saldo restante debe ser girado directamente a la ADRES, a nombre de la entidad territorial correspondiente para el aseguramiento de la población afiliada al Régimen subsidiado.</w:t>
      </w:r>
    </w:p>
    <w:p w14:paraId="4B022DD5"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DA52AA8"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Parágrafo. Las empresas operadoras del juego de lotería tradicional o de billetes y los concesionarios del juego de apuestas permanentes que operen las rifas deberán acreditar el pago de los derechos de explotación equivalentes al catorce por ciento (14%) de los ingresos brutos, los cuales corresponden al cien por ciento (100%) del valor de las boletas vendidas.</w:t>
      </w:r>
    </w:p>
    <w:p w14:paraId="3462468C"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93948B2"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 xml:space="preserve">Artículo 2.6.4.2.2.1.13. Recursos provenientes de la operación de juegos promocionales locales - liquidación, declaración, pago y giro de los derechos de explotación. Los derechos de explotación de los sorteos promocionales locales o de varios municipios del mismo Departamento, conforme lo previsto en el artículo 5° de la Ley 643 de 2001, en armonía con lo dispuesto el inciso 5° del artículo 31 de la misma ley, deben ser liquidados, declarados y pagados, por la persona natural o jurídica gestora del juego en el momento de la autorización, </w:t>
      </w:r>
      <w:r w:rsidRPr="00F1568B">
        <w:rPr>
          <w:rFonts w:ascii="Verdana" w:eastAsia="Times New Roman" w:hAnsi="Verdana" w:cs="Times New Roman"/>
          <w:b/>
          <w:bCs/>
          <w:color w:val="000000"/>
          <w:kern w:val="0"/>
          <w:sz w:val="22"/>
          <w:szCs w:val="22"/>
          <w:lang w:val="es-CO" w:eastAsia="es-MX"/>
          <w14:ligatures w14:val="none"/>
        </w:rPr>
        <w:t>ante la sociedad de capital público departamental administradora del monopolio o quien haga sus veces</w:t>
      </w:r>
      <w:r w:rsidRPr="00F1568B">
        <w:rPr>
          <w:rFonts w:ascii="Verdana" w:eastAsia="Times New Roman" w:hAnsi="Verdana" w:cs="Times New Roman"/>
          <w:color w:val="000000"/>
          <w:kern w:val="0"/>
          <w:sz w:val="22"/>
          <w:szCs w:val="22"/>
          <w:lang w:val="es-CO" w:eastAsia="es-MX"/>
          <w14:ligatures w14:val="none"/>
        </w:rPr>
        <w:t xml:space="preserve">, en un monto equivalente al catorce por ciento (14%) del valor del plan de premios. </w:t>
      </w:r>
      <w:r w:rsidRPr="00F1568B">
        <w:rPr>
          <w:rFonts w:ascii="Verdana" w:eastAsia="Times New Roman" w:hAnsi="Verdana" w:cs="Times New Roman"/>
          <w:b/>
          <w:bCs/>
          <w:color w:val="000000"/>
          <w:kern w:val="0"/>
          <w:sz w:val="22"/>
          <w:szCs w:val="22"/>
          <w:u w:val="single"/>
          <w:lang w:val="es-CO" w:eastAsia="es-MX"/>
          <w14:ligatures w14:val="none"/>
        </w:rPr>
        <w:t>La sociedad de capital público departamental, administradora del monopolio o quien haga sus veces, dentro de los diez (10) días primeros días hábiles del mes siguiente debe girar los recursos</w:t>
      </w:r>
    </w:p>
    <w:p w14:paraId="65A6945A" w14:textId="77777777" w:rsidR="00F1568B" w:rsidRPr="00F1568B" w:rsidRDefault="00F1568B" w:rsidP="00F1568B">
      <w:pPr>
        <w:ind w:left="720"/>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así:</w:t>
      </w:r>
    </w:p>
    <w:p w14:paraId="429629AC" w14:textId="77777777" w:rsidR="00F1568B" w:rsidRPr="00F1568B" w:rsidRDefault="00F1568B" w:rsidP="00F1568B">
      <w:pPr>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15C97152" w14:textId="77777777" w:rsidR="00F1568B" w:rsidRPr="00F1568B" w:rsidRDefault="00F1568B" w:rsidP="00F1568B">
      <w:pPr>
        <w:numPr>
          <w:ilvl w:val="0"/>
          <w:numId w:val="5"/>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Un 7% con destino al Fondo de Investigaciones en Salud, cuenta administrada por el Departamento Administrativo de Ciencia, Tecnología e Innovación (Col- ciencias).</w:t>
      </w:r>
    </w:p>
    <w:p w14:paraId="6C0D155A" w14:textId="77777777" w:rsidR="00F1568B" w:rsidRPr="00F1568B" w:rsidRDefault="00F1568B" w:rsidP="00F1568B">
      <w:pPr>
        <w:numPr>
          <w:ilvl w:val="0"/>
          <w:numId w:val="5"/>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color w:val="000000"/>
          <w:kern w:val="0"/>
          <w:sz w:val="22"/>
          <w:szCs w:val="22"/>
          <w:lang w:val="es-CO" w:eastAsia="es-MX"/>
          <w14:ligatures w14:val="none"/>
        </w:rPr>
        <w:t>Hasta un 25% al Fondo de Salud de la entidad territorial que corresponda, destinado al funcionamiento.</w:t>
      </w:r>
    </w:p>
    <w:p w14:paraId="4CF9113C" w14:textId="77777777" w:rsidR="00F1568B" w:rsidRPr="00F1568B" w:rsidRDefault="00F1568B" w:rsidP="00F1568B">
      <w:pPr>
        <w:numPr>
          <w:ilvl w:val="0"/>
          <w:numId w:val="5"/>
        </w:numPr>
        <w:ind w:left="1080"/>
        <w:jc w:val="both"/>
        <w:textAlignment w:val="baseline"/>
        <w:rPr>
          <w:rFonts w:ascii="Verdana" w:eastAsia="Times New Roman" w:hAnsi="Verdana" w:cs="Times New Roman"/>
          <w:color w:val="000000"/>
          <w:kern w:val="0"/>
          <w:sz w:val="22"/>
          <w:szCs w:val="22"/>
          <w:lang w:val="es-CO" w:eastAsia="es-MX"/>
          <w14:ligatures w14:val="none"/>
        </w:rPr>
      </w:pPr>
      <w:r w:rsidRPr="00F1568B">
        <w:rPr>
          <w:rFonts w:ascii="Verdana" w:eastAsia="Times New Roman" w:hAnsi="Verdana" w:cs="Times New Roman"/>
          <w:b/>
          <w:bCs/>
          <w:color w:val="000000"/>
          <w:kern w:val="0"/>
          <w:sz w:val="22"/>
          <w:szCs w:val="22"/>
          <w:u w:val="single"/>
          <w:lang w:val="es-CO" w:eastAsia="es-MX"/>
          <w14:ligatures w14:val="none"/>
        </w:rPr>
        <w:t>El saldo restante debe ser girado directamente a la ADRES</w:t>
      </w:r>
      <w:r w:rsidRPr="00F1568B">
        <w:rPr>
          <w:rFonts w:ascii="Verdana" w:eastAsia="Times New Roman" w:hAnsi="Verdana" w:cs="Times New Roman"/>
          <w:color w:val="000000"/>
          <w:kern w:val="0"/>
          <w:sz w:val="22"/>
          <w:szCs w:val="22"/>
          <w:lang w:val="es-CO" w:eastAsia="es-MX"/>
          <w14:ligatures w14:val="none"/>
        </w:rPr>
        <w:t>, a nombre de la entidad territorial correspondiente, para el aseguramiento de la población afiliada al Régimen subsidiado.</w:t>
      </w:r>
    </w:p>
    <w:p w14:paraId="0A170816"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309DECF0"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 xml:space="preserve">Conforme con las normas trascritas, en el caso del juego de rifas, y de los juegos promocionales, la totalidad de los recursos por concepto de derechos de explotación deben ser girados a órdenes de la entidad territorial o de la Sociedad de Capital Público Departamental que autorizó la rifa, quien posteriormente está en la obligación de girar los recursos a órdenes de Colciencias, del Fondo de Salud y de la ADRES, en los porcentajes que correspondan de conformidad con las normas </w:t>
      </w:r>
      <w:r w:rsidRPr="00F1568B">
        <w:rPr>
          <w:rFonts w:ascii="Verdana" w:eastAsia="Times New Roman" w:hAnsi="Verdana" w:cs="Times New Roman"/>
          <w:i/>
          <w:iCs/>
          <w:color w:val="000000"/>
          <w:kern w:val="0"/>
          <w:lang w:val="es-CO" w:eastAsia="es-MX"/>
          <w14:ligatures w14:val="none"/>
        </w:rPr>
        <w:t>supra</w:t>
      </w:r>
      <w:r w:rsidRPr="00F1568B">
        <w:rPr>
          <w:rFonts w:ascii="Verdana" w:eastAsia="Times New Roman" w:hAnsi="Verdana" w:cs="Times New Roman"/>
          <w:color w:val="000000"/>
          <w:kern w:val="0"/>
          <w:lang w:val="es-CO" w:eastAsia="es-MX"/>
          <w14:ligatures w14:val="none"/>
        </w:rPr>
        <w:t>.</w:t>
      </w:r>
    </w:p>
    <w:p w14:paraId="35978ED3"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124F141D"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De otra parte, en lo que corresponde al impuesto de loterías foráneas, evidenciamos de la lectura de su escrito que el contenido de la norma que trascribe, esto es el artículo 2.6.4.2.2.1.10. del Decreto 780 de 2016, no corresponde con el contenido real de la norma, pues respecto de este impuesto no se destina ningún porcentaje a Colciencias, ni al Fondo de Salud, puesto que no es ni una renta del monopolio ni una renta cedida. De tal manera, de este impuesto se destinará a aseguramiento en salud el porcentaje que la entidad territorial disponga, el cual debe ser informado a la respectiva lotería para que lo gire directamente a la ADRES.</w:t>
      </w:r>
    </w:p>
    <w:p w14:paraId="7EC35FBE"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283CF99B"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lastRenderedPageBreak/>
        <w:t>Por último, le recordamos que las respuestas emitidas por esta Dirección se ofrecen de manera general y abstracta, en los términos y con los alcances de los artículos 14- 2 y 28 del Código de Procedimiento Administrativo y de lo Contencioso Administrativo, de manera que no son obligatorias ni vinculantes y no comprometen la responsabilidad de este Ministerio.</w:t>
      </w:r>
    </w:p>
    <w:p w14:paraId="46407345" w14:textId="77777777" w:rsidR="00F1568B" w:rsidRPr="00F1568B" w:rsidRDefault="00F1568B" w:rsidP="00F1568B">
      <w:pPr>
        <w:spacing w:after="240"/>
        <w:rPr>
          <w:rFonts w:ascii="Times New Roman" w:eastAsia="Times New Roman" w:hAnsi="Times New Roman" w:cs="Times New Roman"/>
          <w:kern w:val="0"/>
          <w:lang w:val="es-CO" w:eastAsia="es-MX"/>
          <w14:ligatures w14:val="none"/>
        </w:rPr>
      </w:pPr>
    </w:p>
    <w:p w14:paraId="3192EE3E"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Cordialmente</w:t>
      </w:r>
    </w:p>
    <w:p w14:paraId="6CCA81A2" w14:textId="77777777" w:rsidR="00F1568B" w:rsidRPr="00F1568B" w:rsidRDefault="00F1568B" w:rsidP="00F1568B">
      <w:pPr>
        <w:spacing w:after="240"/>
        <w:rPr>
          <w:rFonts w:ascii="Times New Roman" w:eastAsia="Times New Roman" w:hAnsi="Times New Roman" w:cs="Times New Roman"/>
          <w:kern w:val="0"/>
          <w:lang w:val="es-CO" w:eastAsia="es-MX"/>
          <w14:ligatures w14:val="none"/>
        </w:rPr>
      </w:pPr>
      <w:r w:rsidRPr="00F1568B">
        <w:rPr>
          <w:rFonts w:ascii="Times New Roman" w:eastAsia="Times New Roman" w:hAnsi="Times New Roman" w:cs="Times New Roman"/>
          <w:kern w:val="0"/>
          <w:lang w:val="es-CO" w:eastAsia="es-MX"/>
          <w14:ligatures w14:val="none"/>
        </w:rPr>
        <w:br/>
      </w:r>
    </w:p>
    <w:p w14:paraId="2FDC1E23"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b/>
          <w:bCs/>
          <w:color w:val="000000"/>
          <w:kern w:val="0"/>
          <w:lang w:val="es-CO" w:eastAsia="es-MX"/>
          <w14:ligatures w14:val="none"/>
        </w:rPr>
        <w:t>Claudia Helena Otálora Cristancho</w:t>
      </w:r>
    </w:p>
    <w:p w14:paraId="2A7CE8FA"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Subdirectora de Fortalecimiento Institucional Territorial</w:t>
      </w:r>
    </w:p>
    <w:p w14:paraId="15028482" w14:textId="77777777" w:rsidR="00F1568B" w:rsidRPr="00F1568B" w:rsidRDefault="00F1568B" w:rsidP="00F1568B">
      <w:pPr>
        <w:jc w:val="both"/>
        <w:rPr>
          <w:rFonts w:ascii="Times New Roman" w:eastAsia="Times New Roman" w:hAnsi="Times New Roman" w:cs="Times New Roman"/>
          <w:kern w:val="0"/>
          <w:lang w:val="es-CO" w:eastAsia="es-MX"/>
          <w14:ligatures w14:val="none"/>
        </w:rPr>
      </w:pPr>
      <w:r w:rsidRPr="00F1568B">
        <w:rPr>
          <w:rFonts w:ascii="Verdana" w:eastAsia="Times New Roman" w:hAnsi="Verdana" w:cs="Times New Roman"/>
          <w:color w:val="000000"/>
          <w:kern w:val="0"/>
          <w:lang w:val="es-CO" w:eastAsia="es-MX"/>
          <w14:ligatures w14:val="none"/>
        </w:rPr>
        <w:t>Dirección General de Apoyo Fiscal</w:t>
      </w:r>
    </w:p>
    <w:p w14:paraId="1CA21FDC" w14:textId="77777777" w:rsidR="00F1568B" w:rsidRPr="00F1568B" w:rsidRDefault="00F1568B" w:rsidP="00F1568B">
      <w:pPr>
        <w:rPr>
          <w:rFonts w:ascii="Times New Roman" w:eastAsia="Times New Roman" w:hAnsi="Times New Roman" w:cs="Times New Roman"/>
          <w:kern w:val="0"/>
          <w:lang w:val="es-CO" w:eastAsia="es-MX"/>
          <w14:ligatures w14:val="none"/>
        </w:rPr>
      </w:pPr>
    </w:p>
    <w:p w14:paraId="0E47B4F5"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24FD0"/>
    <w:multiLevelType w:val="multilevel"/>
    <w:tmpl w:val="48124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E66E42"/>
    <w:multiLevelType w:val="multilevel"/>
    <w:tmpl w:val="4DA2B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D34B02"/>
    <w:multiLevelType w:val="multilevel"/>
    <w:tmpl w:val="9F4E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360327"/>
    <w:multiLevelType w:val="multilevel"/>
    <w:tmpl w:val="61E60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C3850ED"/>
    <w:multiLevelType w:val="multilevel"/>
    <w:tmpl w:val="97CAA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8787630">
    <w:abstractNumId w:val="4"/>
  </w:num>
  <w:num w:numId="2" w16cid:durableId="1533305779">
    <w:abstractNumId w:val="3"/>
  </w:num>
  <w:num w:numId="3" w16cid:durableId="909191861">
    <w:abstractNumId w:val="0"/>
  </w:num>
  <w:num w:numId="4" w16cid:durableId="109011629">
    <w:abstractNumId w:val="1"/>
  </w:num>
  <w:num w:numId="5" w16cid:durableId="453742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68B"/>
    <w:rsid w:val="000B2285"/>
    <w:rsid w:val="00284D72"/>
    <w:rsid w:val="00537D8F"/>
    <w:rsid w:val="00B83A7B"/>
    <w:rsid w:val="00F1568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3E33A0C"/>
  <w14:defaultImageDpi w14:val="32767"/>
  <w15:chartTrackingRefBased/>
  <w15:docId w15:val="{F54A11A6-2C4E-C849-A7D5-D89166536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1568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1568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1568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1568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1568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1568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1568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1568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1568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568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1568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1568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1568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1568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156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156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156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1568B"/>
    <w:rPr>
      <w:rFonts w:eastAsiaTheme="majorEastAsia" w:cstheme="majorBidi"/>
      <w:color w:val="272727" w:themeColor="text1" w:themeTint="D8"/>
    </w:rPr>
  </w:style>
  <w:style w:type="paragraph" w:styleId="Ttulo">
    <w:name w:val="Title"/>
    <w:basedOn w:val="Normal"/>
    <w:next w:val="Normal"/>
    <w:link w:val="TtuloCar"/>
    <w:uiPriority w:val="10"/>
    <w:qFormat/>
    <w:rsid w:val="00F1568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156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1568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156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1568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1568B"/>
    <w:rPr>
      <w:i/>
      <w:iCs/>
      <w:color w:val="404040" w:themeColor="text1" w:themeTint="BF"/>
    </w:rPr>
  </w:style>
  <w:style w:type="paragraph" w:styleId="Prrafodelista">
    <w:name w:val="List Paragraph"/>
    <w:basedOn w:val="Normal"/>
    <w:uiPriority w:val="34"/>
    <w:qFormat/>
    <w:rsid w:val="00F1568B"/>
    <w:pPr>
      <w:ind w:left="720"/>
      <w:contextualSpacing/>
    </w:pPr>
  </w:style>
  <w:style w:type="character" w:styleId="nfasisintenso">
    <w:name w:val="Intense Emphasis"/>
    <w:basedOn w:val="Fuentedeprrafopredeter"/>
    <w:uiPriority w:val="21"/>
    <w:qFormat/>
    <w:rsid w:val="00F1568B"/>
    <w:rPr>
      <w:i/>
      <w:iCs/>
      <w:color w:val="2F5496" w:themeColor="accent1" w:themeShade="BF"/>
    </w:rPr>
  </w:style>
  <w:style w:type="paragraph" w:styleId="Citadestacada">
    <w:name w:val="Intense Quote"/>
    <w:basedOn w:val="Normal"/>
    <w:next w:val="Normal"/>
    <w:link w:val="CitadestacadaCar"/>
    <w:uiPriority w:val="30"/>
    <w:qFormat/>
    <w:rsid w:val="00F1568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1568B"/>
    <w:rPr>
      <w:i/>
      <w:iCs/>
      <w:color w:val="2F5496" w:themeColor="accent1" w:themeShade="BF"/>
    </w:rPr>
  </w:style>
  <w:style w:type="character" w:styleId="Referenciaintensa">
    <w:name w:val="Intense Reference"/>
    <w:basedOn w:val="Fuentedeprrafopredeter"/>
    <w:uiPriority w:val="32"/>
    <w:qFormat/>
    <w:rsid w:val="00F1568B"/>
    <w:rPr>
      <w:b/>
      <w:bCs/>
      <w:smallCaps/>
      <w:color w:val="2F5496" w:themeColor="accent1" w:themeShade="BF"/>
      <w:spacing w:val="5"/>
    </w:rPr>
  </w:style>
  <w:style w:type="paragraph" w:styleId="NormalWeb">
    <w:name w:val="Normal (Web)"/>
    <w:basedOn w:val="Normal"/>
    <w:uiPriority w:val="99"/>
    <w:semiHidden/>
    <w:unhideWhenUsed/>
    <w:rsid w:val="00F1568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156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2303</Words>
  <Characters>12670</Characters>
  <Application>Microsoft Office Word</Application>
  <DocSecurity>0</DocSecurity>
  <Lines>105</Lines>
  <Paragraphs>29</Paragraphs>
  <ScaleCrop>false</ScaleCrop>
  <Company/>
  <LinksUpToDate>false</LinksUpToDate>
  <CharactersWithSpaces>14944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2025-10-03T22:06:00Z</dcterms:created>
  <dcterms:modified xsi:type="dcterms:W3CDTF">2025-10-03T22:08:00Z</dcterms:modified>
</cp:coreProperties>
</file>