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1C8FDE"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b/>
          <w:bCs/>
          <w:color w:val="000000"/>
          <w:kern w:val="0"/>
          <w:lang w:val="es-CO" w:eastAsia="es-MX"/>
          <w14:ligatures w14:val="none"/>
        </w:rPr>
        <w:t>CONCEPTO DIAN 1103 DEL 22 DE JULIO DE 2025</w:t>
      </w:r>
    </w:p>
    <w:p w14:paraId="3EC7ED4C"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b/>
          <w:bCs/>
          <w:color w:val="000000"/>
          <w:kern w:val="0"/>
          <w:lang w:val="es-CO" w:eastAsia="es-MX"/>
          <w14:ligatures w14:val="none"/>
        </w:rPr>
        <w:t>DIRECCIÓN DE IMPUESTOS Y ADUANAS NACIONALES</w:t>
      </w:r>
    </w:p>
    <w:p w14:paraId="16E7588D" w14:textId="77777777" w:rsidR="00277497" w:rsidRPr="00277497" w:rsidRDefault="00277497" w:rsidP="00277497">
      <w:pPr>
        <w:rPr>
          <w:rFonts w:ascii="Times New Roman" w:eastAsia="Times New Roman" w:hAnsi="Times New Roman" w:cs="Times New Roman"/>
          <w:kern w:val="0"/>
          <w:lang w:val="es-CO" w:eastAsia="es-MX"/>
          <w14:ligatures w14:val="none"/>
        </w:rPr>
      </w:pPr>
    </w:p>
    <w:p w14:paraId="443CC7D4"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Bogotá, D.C.,</w:t>
      </w:r>
    </w:p>
    <w:p w14:paraId="6ACAE91A" w14:textId="77777777" w:rsidR="00277497" w:rsidRPr="00277497" w:rsidRDefault="00277497" w:rsidP="00277497">
      <w:pPr>
        <w:rPr>
          <w:rFonts w:ascii="Times New Roman" w:eastAsia="Times New Roman" w:hAnsi="Times New Roman" w:cs="Times New Roman"/>
          <w:kern w:val="0"/>
          <w:lang w:val="es-CO" w:eastAsia="es-MX"/>
          <w14:ligatures w14:val="none"/>
        </w:rPr>
      </w:pPr>
    </w:p>
    <w:p w14:paraId="055D8987"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b/>
          <w:bCs/>
          <w:color w:val="000000"/>
          <w:kern w:val="0"/>
          <w:lang w:val="es-CO" w:eastAsia="es-MX"/>
          <w14:ligatures w14:val="none"/>
        </w:rPr>
        <w:t>Tema:</w:t>
      </w:r>
      <w:r w:rsidRPr="00277497">
        <w:rPr>
          <w:rFonts w:ascii="Verdana" w:eastAsia="Times New Roman" w:hAnsi="Verdana" w:cs="Times New Roman"/>
          <w:b/>
          <w:bCs/>
          <w:color w:val="000000"/>
          <w:kern w:val="0"/>
          <w:lang w:val="es-CO" w:eastAsia="es-MX"/>
          <w14:ligatures w14:val="none"/>
        </w:rPr>
        <w:tab/>
      </w:r>
      <w:r w:rsidRPr="00277497">
        <w:rPr>
          <w:rFonts w:ascii="Verdana" w:eastAsia="Times New Roman" w:hAnsi="Verdana" w:cs="Times New Roman"/>
          <w:b/>
          <w:bCs/>
          <w:color w:val="000000"/>
          <w:kern w:val="0"/>
          <w:lang w:val="es-CO" w:eastAsia="es-MX"/>
          <w14:ligatures w14:val="none"/>
        </w:rPr>
        <w:tab/>
      </w:r>
      <w:r w:rsidRPr="00277497">
        <w:rPr>
          <w:rFonts w:ascii="Verdana" w:eastAsia="Times New Roman" w:hAnsi="Verdana" w:cs="Times New Roman"/>
          <w:b/>
          <w:bCs/>
          <w:color w:val="000000"/>
          <w:kern w:val="0"/>
          <w:lang w:val="es-CO" w:eastAsia="es-MX"/>
          <w14:ligatures w14:val="none"/>
        </w:rPr>
        <w:tab/>
      </w:r>
      <w:r w:rsidRPr="00277497">
        <w:rPr>
          <w:rFonts w:ascii="Verdana" w:eastAsia="Times New Roman" w:hAnsi="Verdana" w:cs="Times New Roman"/>
          <w:color w:val="000000"/>
          <w:kern w:val="0"/>
          <w:lang w:val="es-CO" w:eastAsia="es-MX"/>
          <w14:ligatures w14:val="none"/>
        </w:rPr>
        <w:t>Impuesto sobre las ventas</w:t>
      </w:r>
    </w:p>
    <w:p w14:paraId="7071B5EA"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b/>
          <w:bCs/>
          <w:color w:val="000000"/>
          <w:kern w:val="0"/>
          <w:lang w:val="es-CO" w:eastAsia="es-MX"/>
          <w14:ligatures w14:val="none"/>
        </w:rPr>
        <w:t>Descriptores:</w:t>
      </w:r>
      <w:r w:rsidRPr="00277497">
        <w:rPr>
          <w:rFonts w:ascii="Verdana" w:eastAsia="Times New Roman" w:hAnsi="Verdana" w:cs="Times New Roman"/>
          <w:b/>
          <w:bCs/>
          <w:color w:val="000000"/>
          <w:kern w:val="0"/>
          <w:lang w:val="es-CO" w:eastAsia="es-MX"/>
          <w14:ligatures w14:val="none"/>
        </w:rPr>
        <w:tab/>
      </w:r>
      <w:r w:rsidRPr="00277497">
        <w:rPr>
          <w:rFonts w:ascii="Verdana" w:eastAsia="Times New Roman" w:hAnsi="Verdana" w:cs="Times New Roman"/>
          <w:b/>
          <w:bCs/>
          <w:color w:val="000000"/>
          <w:kern w:val="0"/>
          <w:lang w:val="es-CO" w:eastAsia="es-MX"/>
          <w14:ligatures w14:val="none"/>
        </w:rPr>
        <w:tab/>
      </w:r>
      <w:r w:rsidRPr="00277497">
        <w:rPr>
          <w:rFonts w:ascii="Verdana" w:eastAsia="Times New Roman" w:hAnsi="Verdana" w:cs="Times New Roman"/>
          <w:color w:val="000000"/>
          <w:kern w:val="0"/>
          <w:lang w:val="es-CO" w:eastAsia="es-MX"/>
          <w14:ligatures w14:val="none"/>
        </w:rPr>
        <w:t>Retiro de inventarios Autoconsumo</w:t>
      </w:r>
    </w:p>
    <w:p w14:paraId="555CC2D9" w14:textId="77777777" w:rsidR="00277497" w:rsidRPr="00277497" w:rsidRDefault="00277497" w:rsidP="00277497">
      <w:pPr>
        <w:ind w:left="2160" w:firstLine="720"/>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Devolución de IVA en materiales de construcción</w:t>
      </w:r>
    </w:p>
    <w:p w14:paraId="62ABEDCD" w14:textId="77777777" w:rsidR="00277497" w:rsidRPr="00277497" w:rsidRDefault="00277497" w:rsidP="00634C4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b/>
          <w:bCs/>
          <w:color w:val="000000"/>
          <w:kern w:val="0"/>
          <w:lang w:val="es-CO" w:eastAsia="es-MX"/>
          <w14:ligatures w14:val="none"/>
        </w:rPr>
        <w:t>Fuentes formales:</w:t>
      </w:r>
      <w:r w:rsidRPr="00277497">
        <w:rPr>
          <w:rFonts w:ascii="Verdana" w:eastAsia="Times New Roman" w:hAnsi="Verdana" w:cs="Times New Roman"/>
          <w:b/>
          <w:bCs/>
          <w:color w:val="000000"/>
          <w:kern w:val="0"/>
          <w:lang w:val="es-CO" w:eastAsia="es-MX"/>
          <w14:ligatures w14:val="none"/>
        </w:rPr>
        <w:tab/>
      </w:r>
      <w:r w:rsidRPr="00277497">
        <w:rPr>
          <w:rFonts w:ascii="Verdana" w:eastAsia="Times New Roman" w:hAnsi="Verdana" w:cs="Times New Roman"/>
          <w:color w:val="000000"/>
          <w:kern w:val="0"/>
          <w:lang w:val="es-CO" w:eastAsia="es-MX"/>
          <w14:ligatures w14:val="none"/>
        </w:rPr>
        <w:t>Artículos 421, 429, 437 y 850 del Estatuto Tributario.</w:t>
      </w:r>
    </w:p>
    <w:p w14:paraId="78CEABAF" w14:textId="77777777" w:rsidR="00277497" w:rsidRPr="00277497" w:rsidRDefault="00277497" w:rsidP="00277497">
      <w:pPr>
        <w:ind w:left="2160" w:firstLine="720"/>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Artículo 1.6.1.26.6 del Decreto 1625 de 2016.</w:t>
      </w:r>
    </w:p>
    <w:p w14:paraId="2B9D4D17" w14:textId="77777777" w:rsidR="00277497" w:rsidRPr="00277497" w:rsidRDefault="00277497" w:rsidP="00277497">
      <w:pPr>
        <w:ind w:left="2160" w:firstLine="720"/>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Concepto No. 0603 del 21 de marzo de 2024.</w:t>
      </w:r>
    </w:p>
    <w:p w14:paraId="4CA33037" w14:textId="77777777" w:rsidR="00277497" w:rsidRPr="00277497" w:rsidRDefault="00277497" w:rsidP="00277497">
      <w:pPr>
        <w:ind w:left="2160" w:firstLine="720"/>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Oficio 906481 de 2021.</w:t>
      </w:r>
    </w:p>
    <w:p w14:paraId="2B7D850C" w14:textId="77777777" w:rsidR="00277497" w:rsidRPr="00277497" w:rsidRDefault="00277497" w:rsidP="00277497">
      <w:pPr>
        <w:ind w:left="2160" w:firstLine="720"/>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Concepto 004979 (</w:t>
      </w:r>
      <w:proofErr w:type="spellStart"/>
      <w:r w:rsidRPr="00277497">
        <w:rPr>
          <w:rFonts w:ascii="Verdana" w:eastAsia="Times New Roman" w:hAnsi="Verdana" w:cs="Times New Roman"/>
          <w:color w:val="000000"/>
          <w:kern w:val="0"/>
          <w:lang w:val="es-CO" w:eastAsia="es-MX"/>
          <w14:ligatures w14:val="none"/>
        </w:rPr>
        <w:t>int</w:t>
      </w:r>
      <w:proofErr w:type="spellEnd"/>
      <w:r w:rsidRPr="00277497">
        <w:rPr>
          <w:rFonts w:ascii="Verdana" w:eastAsia="Times New Roman" w:hAnsi="Verdana" w:cs="Times New Roman"/>
          <w:color w:val="000000"/>
          <w:kern w:val="0"/>
          <w:lang w:val="es-CO" w:eastAsia="es-MX"/>
          <w14:ligatures w14:val="none"/>
        </w:rPr>
        <w:t xml:space="preserve"> 560) de 2025</w:t>
      </w:r>
    </w:p>
    <w:p w14:paraId="0965F9C0" w14:textId="77777777" w:rsidR="00277497" w:rsidRPr="00277497" w:rsidRDefault="00277497" w:rsidP="00277497">
      <w:pPr>
        <w:ind w:left="2880"/>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Sentencia del 28 de agosto de 2013 - radicado 25000232700020100002101 (19004) Consejo de Estado.</w:t>
      </w:r>
    </w:p>
    <w:p w14:paraId="282AECCE" w14:textId="77777777" w:rsidR="00277497" w:rsidRPr="00277497" w:rsidRDefault="00277497" w:rsidP="00277497">
      <w:pPr>
        <w:ind w:left="2880"/>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Sentencia del 28 de febrero de 2019 – radicado 25000233700020140069001(23479) Consejo de Estado.</w:t>
      </w:r>
    </w:p>
    <w:p w14:paraId="11CB5B34" w14:textId="77777777" w:rsidR="00277497" w:rsidRPr="00277497" w:rsidRDefault="00277497" w:rsidP="00277497">
      <w:pPr>
        <w:rPr>
          <w:rFonts w:ascii="Times New Roman" w:eastAsia="Times New Roman" w:hAnsi="Times New Roman" w:cs="Times New Roman"/>
          <w:kern w:val="0"/>
          <w:lang w:val="es-CO" w:eastAsia="es-MX"/>
          <w14:ligatures w14:val="none"/>
        </w:rPr>
      </w:pPr>
    </w:p>
    <w:p w14:paraId="41768E7E"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Cordial saludo</w:t>
      </w:r>
    </w:p>
    <w:p w14:paraId="7C453EE1" w14:textId="77777777" w:rsidR="00277497" w:rsidRPr="00277497" w:rsidRDefault="00277497" w:rsidP="00277497">
      <w:pPr>
        <w:rPr>
          <w:rFonts w:ascii="Times New Roman" w:eastAsia="Times New Roman" w:hAnsi="Times New Roman" w:cs="Times New Roman"/>
          <w:kern w:val="0"/>
          <w:lang w:val="es-CO" w:eastAsia="es-MX"/>
          <w14:ligatures w14:val="none"/>
        </w:rPr>
      </w:pPr>
      <w:r w:rsidRPr="00277497">
        <w:rPr>
          <w:rFonts w:ascii="Times New Roman" w:eastAsia="Times New Roman" w:hAnsi="Times New Roman" w:cs="Times New Roman"/>
          <w:kern w:val="0"/>
          <w:lang w:val="es-CO" w:eastAsia="es-MX"/>
          <w14:ligatures w14:val="none"/>
        </w:rPr>
        <w:br/>
      </w:r>
    </w:p>
    <w:p w14:paraId="078A260B" w14:textId="77777777" w:rsidR="00277497" w:rsidRPr="00277497" w:rsidRDefault="00277497" w:rsidP="00277497">
      <w:pPr>
        <w:numPr>
          <w:ilvl w:val="0"/>
          <w:numId w:val="1"/>
        </w:numPr>
        <w:jc w:val="both"/>
        <w:textAlignment w:val="baseline"/>
        <w:rPr>
          <w:rFonts w:ascii="Verdana" w:eastAsia="Times New Roman" w:hAnsi="Verdana" w:cs="Times New Roman"/>
          <w:color w:val="000000"/>
          <w:kern w:val="0"/>
          <w:lang w:val="es-CO" w:eastAsia="es-MX"/>
          <w14:ligatures w14:val="none"/>
        </w:rPr>
      </w:pPr>
      <w:r w:rsidRPr="00277497">
        <w:rPr>
          <w:rFonts w:ascii="Verdana" w:eastAsia="Times New Roman" w:hAnsi="Verdana" w:cs="Times New Roman"/>
          <w:color w:val="000000"/>
          <w:kern w:val="0"/>
          <w:lang w:val="es-CO" w:eastAsia="es-MX"/>
          <w14:ligatures w14:val="none"/>
        </w:rPr>
        <w:t>Esta Subdirección está facultada para resolver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59E2217A" w14:textId="77777777" w:rsidR="00277497" w:rsidRPr="00277497" w:rsidRDefault="00277497" w:rsidP="00277497">
      <w:pPr>
        <w:rPr>
          <w:rFonts w:ascii="Times New Roman" w:eastAsia="Times New Roman" w:hAnsi="Times New Roman" w:cs="Times New Roman"/>
          <w:kern w:val="0"/>
          <w:lang w:val="es-CO" w:eastAsia="es-MX"/>
          <w14:ligatures w14:val="none"/>
        </w:rPr>
      </w:pPr>
      <w:r w:rsidRPr="00277497">
        <w:rPr>
          <w:rFonts w:ascii="Times New Roman" w:eastAsia="Times New Roman" w:hAnsi="Times New Roman" w:cs="Times New Roman"/>
          <w:kern w:val="0"/>
          <w:lang w:val="es-CO" w:eastAsia="es-MX"/>
          <w14:ligatures w14:val="none"/>
        </w:rPr>
        <w:br/>
      </w:r>
    </w:p>
    <w:p w14:paraId="532B28F9" w14:textId="77777777" w:rsidR="00277497" w:rsidRPr="00277497" w:rsidRDefault="00277497" w:rsidP="00277497">
      <w:pPr>
        <w:numPr>
          <w:ilvl w:val="0"/>
          <w:numId w:val="2"/>
        </w:numPr>
        <w:jc w:val="both"/>
        <w:textAlignment w:val="baseline"/>
        <w:rPr>
          <w:rFonts w:ascii="Verdana" w:eastAsia="Times New Roman" w:hAnsi="Verdana" w:cs="Times New Roman"/>
          <w:color w:val="000000"/>
          <w:kern w:val="0"/>
          <w:lang w:val="es-CO" w:eastAsia="es-MX"/>
          <w14:ligatures w14:val="none"/>
        </w:rPr>
      </w:pPr>
      <w:r w:rsidRPr="00277497">
        <w:rPr>
          <w:rFonts w:ascii="Verdana" w:eastAsia="Times New Roman" w:hAnsi="Verdana" w:cs="Times New Roman"/>
          <w:color w:val="000000"/>
          <w:kern w:val="0"/>
          <w:lang w:val="es-CO" w:eastAsia="es-MX"/>
          <w14:ligatures w14:val="none"/>
        </w:rPr>
        <w:t>Plantea una serie de interrogantes relacionados con el manejo del IVA frente al retiro de inventarios por autoconsumo, particularmente sobre como acreditar el requisito establecido en el artículo 1.6.1.26.6 del Decreto 1625 de 2016 para efectos de la devolución de IVA por la adquisición de materiales para la construcción de viviendas de interés social y viviendas de interés prioritario.</w:t>
      </w:r>
    </w:p>
    <w:p w14:paraId="39CFC8A0" w14:textId="77777777" w:rsidR="00277497" w:rsidRPr="00277497" w:rsidRDefault="00277497" w:rsidP="00277497">
      <w:pPr>
        <w:rPr>
          <w:rFonts w:ascii="Times New Roman" w:eastAsia="Times New Roman" w:hAnsi="Times New Roman" w:cs="Times New Roman"/>
          <w:kern w:val="0"/>
          <w:lang w:val="es-CO" w:eastAsia="es-MX"/>
          <w14:ligatures w14:val="none"/>
        </w:rPr>
      </w:pPr>
    </w:p>
    <w:p w14:paraId="735078BD"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Al respecto, se considera:</w:t>
      </w:r>
    </w:p>
    <w:p w14:paraId="7134E9F6" w14:textId="77777777" w:rsidR="00277497" w:rsidRPr="00277497" w:rsidRDefault="00277497" w:rsidP="00277497">
      <w:pPr>
        <w:rPr>
          <w:rFonts w:ascii="Times New Roman" w:eastAsia="Times New Roman" w:hAnsi="Times New Roman" w:cs="Times New Roman"/>
          <w:kern w:val="0"/>
          <w:lang w:val="es-CO" w:eastAsia="es-MX"/>
          <w14:ligatures w14:val="none"/>
        </w:rPr>
      </w:pPr>
      <w:r w:rsidRPr="00277497">
        <w:rPr>
          <w:rFonts w:ascii="Times New Roman" w:eastAsia="Times New Roman" w:hAnsi="Times New Roman" w:cs="Times New Roman"/>
          <w:kern w:val="0"/>
          <w:lang w:val="es-CO" w:eastAsia="es-MX"/>
          <w14:ligatures w14:val="none"/>
        </w:rPr>
        <w:br/>
      </w:r>
    </w:p>
    <w:p w14:paraId="16007396" w14:textId="77777777" w:rsidR="00277497" w:rsidRPr="00277497" w:rsidRDefault="00277497" w:rsidP="00277497">
      <w:pPr>
        <w:numPr>
          <w:ilvl w:val="0"/>
          <w:numId w:val="3"/>
        </w:numPr>
        <w:jc w:val="both"/>
        <w:textAlignment w:val="baseline"/>
        <w:rPr>
          <w:rFonts w:ascii="Verdana" w:eastAsia="Times New Roman" w:hAnsi="Verdana" w:cs="Times New Roman"/>
          <w:color w:val="000000"/>
          <w:kern w:val="0"/>
          <w:lang w:val="es-CO" w:eastAsia="es-MX"/>
          <w14:ligatures w14:val="none"/>
        </w:rPr>
      </w:pPr>
      <w:r w:rsidRPr="00277497">
        <w:rPr>
          <w:rFonts w:ascii="Verdana" w:eastAsia="Times New Roman" w:hAnsi="Verdana" w:cs="Times New Roman"/>
          <w:color w:val="000000"/>
          <w:kern w:val="0"/>
          <w:lang w:val="es-CO" w:eastAsia="es-MX"/>
          <w14:ligatures w14:val="none"/>
        </w:rPr>
        <w:t xml:space="preserve">La doctrina proferida por este Despacho ha señalado que en lo relacionado con la </w:t>
      </w:r>
      <w:proofErr w:type="spellStart"/>
      <w:r w:rsidRPr="00277497">
        <w:rPr>
          <w:rFonts w:ascii="Verdana" w:eastAsia="Times New Roman" w:hAnsi="Verdana" w:cs="Times New Roman"/>
          <w:color w:val="000000"/>
          <w:kern w:val="0"/>
          <w:lang w:val="es-CO" w:eastAsia="es-MX"/>
          <w14:ligatures w14:val="none"/>
        </w:rPr>
        <w:t>causación</w:t>
      </w:r>
      <w:proofErr w:type="spellEnd"/>
      <w:r w:rsidRPr="00277497">
        <w:rPr>
          <w:rFonts w:ascii="Verdana" w:eastAsia="Times New Roman" w:hAnsi="Verdana" w:cs="Times New Roman"/>
          <w:color w:val="000000"/>
          <w:kern w:val="0"/>
          <w:lang w:val="es-CO" w:eastAsia="es-MX"/>
          <w14:ligatures w14:val="none"/>
        </w:rPr>
        <w:t xml:space="preserve"> del Impuesto sobre las Ventas (en adelante </w:t>
      </w:r>
      <w:r w:rsidRPr="00277497">
        <w:rPr>
          <w:rFonts w:ascii="Verdana" w:eastAsia="Times New Roman" w:hAnsi="Verdana" w:cs="Times New Roman"/>
          <w:color w:val="000000"/>
          <w:kern w:val="0"/>
          <w:lang w:val="es-CO" w:eastAsia="es-MX"/>
          <w14:ligatures w14:val="none"/>
        </w:rPr>
        <w:lastRenderedPageBreak/>
        <w:t>IVA) por el supuesto normativo contenido en el literal b de los artículos 421 y 429 del Estatuto Tributario, que este se causa en la fecha que se efectúe el retiro del inventario y además: i) debe tratarse de bienes que integren los activos móviles del contribuyente; ii) que estos se encuentren registrados contablemente dentro de su haber y iii) Debe ser para su propio uso o consumo o incorporarse a un activo fijo.</w:t>
      </w:r>
    </w:p>
    <w:p w14:paraId="2A5F06A7" w14:textId="77777777" w:rsidR="00277497" w:rsidRPr="00277497" w:rsidRDefault="00277497" w:rsidP="00277497">
      <w:pPr>
        <w:rPr>
          <w:rFonts w:ascii="Times New Roman" w:eastAsia="Times New Roman" w:hAnsi="Times New Roman" w:cs="Times New Roman"/>
          <w:kern w:val="0"/>
          <w:lang w:val="es-CO" w:eastAsia="es-MX"/>
          <w14:ligatures w14:val="none"/>
        </w:rPr>
      </w:pPr>
      <w:r w:rsidRPr="00277497">
        <w:rPr>
          <w:rFonts w:ascii="Times New Roman" w:eastAsia="Times New Roman" w:hAnsi="Times New Roman" w:cs="Times New Roman"/>
          <w:kern w:val="0"/>
          <w:lang w:val="es-CO" w:eastAsia="es-MX"/>
          <w14:ligatures w14:val="none"/>
        </w:rPr>
        <w:br/>
      </w:r>
    </w:p>
    <w:p w14:paraId="1A8F013F" w14:textId="77777777" w:rsidR="00277497" w:rsidRPr="00277497" w:rsidRDefault="00277497" w:rsidP="00277497">
      <w:pPr>
        <w:numPr>
          <w:ilvl w:val="0"/>
          <w:numId w:val="4"/>
        </w:numPr>
        <w:jc w:val="both"/>
        <w:textAlignment w:val="baseline"/>
        <w:rPr>
          <w:rFonts w:ascii="Verdana" w:eastAsia="Times New Roman" w:hAnsi="Verdana" w:cs="Times New Roman"/>
          <w:color w:val="000000"/>
          <w:kern w:val="0"/>
          <w:lang w:val="es-CO" w:eastAsia="es-MX"/>
          <w14:ligatures w14:val="none"/>
        </w:rPr>
      </w:pPr>
      <w:r w:rsidRPr="00277497">
        <w:rPr>
          <w:rFonts w:ascii="Verdana" w:eastAsia="Times New Roman" w:hAnsi="Verdana" w:cs="Times New Roman"/>
          <w:color w:val="000000"/>
          <w:kern w:val="0"/>
          <w:lang w:val="es-CO" w:eastAsia="es-MX"/>
          <w14:ligatures w14:val="none"/>
        </w:rPr>
        <w:t>La jurisprudencia ha señalado además que existe autoconsumo cuando el responsable del impuesto utiliza los bienes retirados del inventario para actividades propias del proceso productivo, además señala que existe autoconsumo cuando transfiere de manera gratuita dichos bienes.</w:t>
      </w:r>
    </w:p>
    <w:p w14:paraId="7B2F99C9" w14:textId="77777777" w:rsidR="00277497" w:rsidRPr="00277497" w:rsidRDefault="00277497" w:rsidP="00277497">
      <w:pPr>
        <w:rPr>
          <w:rFonts w:ascii="Times New Roman" w:eastAsia="Times New Roman" w:hAnsi="Times New Roman" w:cs="Times New Roman"/>
          <w:kern w:val="0"/>
          <w:lang w:val="es-CO" w:eastAsia="es-MX"/>
          <w14:ligatures w14:val="none"/>
        </w:rPr>
      </w:pPr>
      <w:r w:rsidRPr="00277497">
        <w:rPr>
          <w:rFonts w:ascii="Times New Roman" w:eastAsia="Times New Roman" w:hAnsi="Times New Roman" w:cs="Times New Roman"/>
          <w:kern w:val="0"/>
          <w:lang w:val="es-CO" w:eastAsia="es-MX"/>
          <w14:ligatures w14:val="none"/>
        </w:rPr>
        <w:br/>
      </w:r>
    </w:p>
    <w:p w14:paraId="6C2BB44B" w14:textId="77777777" w:rsidR="00277497" w:rsidRPr="00277497" w:rsidRDefault="00277497" w:rsidP="00277497">
      <w:pPr>
        <w:numPr>
          <w:ilvl w:val="0"/>
          <w:numId w:val="5"/>
        </w:numPr>
        <w:jc w:val="both"/>
        <w:textAlignment w:val="baseline"/>
        <w:rPr>
          <w:rFonts w:ascii="Verdana" w:eastAsia="Times New Roman" w:hAnsi="Verdana" w:cs="Times New Roman"/>
          <w:color w:val="000000"/>
          <w:kern w:val="0"/>
          <w:lang w:val="es-CO" w:eastAsia="es-MX"/>
          <w14:ligatures w14:val="none"/>
        </w:rPr>
      </w:pPr>
      <w:r w:rsidRPr="00277497">
        <w:rPr>
          <w:rFonts w:ascii="Verdana" w:eastAsia="Times New Roman" w:hAnsi="Verdana" w:cs="Times New Roman"/>
          <w:color w:val="000000"/>
          <w:kern w:val="0"/>
          <w:lang w:val="es-CO" w:eastAsia="es-MX"/>
          <w14:ligatures w14:val="none"/>
        </w:rPr>
        <w:t xml:space="preserve">Es así como, al tenor del artículo 421 </w:t>
      </w:r>
      <w:proofErr w:type="spellStart"/>
      <w:r w:rsidRPr="00277497">
        <w:rPr>
          <w:rFonts w:ascii="Verdana" w:eastAsia="Times New Roman" w:hAnsi="Verdana" w:cs="Times New Roman"/>
          <w:i/>
          <w:iCs/>
          <w:color w:val="000000"/>
          <w:kern w:val="0"/>
          <w:lang w:val="es-CO" w:eastAsia="es-MX"/>
          <w14:ligatures w14:val="none"/>
        </w:rPr>
        <w:t>ibídem</w:t>
      </w:r>
      <w:proofErr w:type="spellEnd"/>
      <w:r w:rsidRPr="00277497">
        <w:rPr>
          <w:rFonts w:ascii="Verdana" w:eastAsia="Times New Roman" w:hAnsi="Verdana" w:cs="Times New Roman"/>
          <w:i/>
          <w:iCs/>
          <w:color w:val="000000"/>
          <w:kern w:val="0"/>
          <w:lang w:val="es-CO" w:eastAsia="es-MX"/>
          <w14:ligatures w14:val="none"/>
        </w:rPr>
        <w:t xml:space="preserve"> </w:t>
      </w:r>
      <w:r w:rsidRPr="00277497">
        <w:rPr>
          <w:rFonts w:ascii="Verdana" w:eastAsia="Times New Roman" w:hAnsi="Verdana" w:cs="Times New Roman"/>
          <w:color w:val="000000"/>
          <w:kern w:val="0"/>
          <w:lang w:val="es-CO" w:eastAsia="es-MX"/>
          <w14:ligatures w14:val="none"/>
        </w:rPr>
        <w:t>el retiro de inventario en las condiciones previstas se considera venta, causando el correspondiente gravamen que debe ser declarado y pagado. Al respecto, el Consejo de Estado ha considerado:</w:t>
      </w:r>
    </w:p>
    <w:p w14:paraId="63B0A03F" w14:textId="77777777" w:rsidR="00277497" w:rsidRPr="00277497" w:rsidRDefault="00277497" w:rsidP="00277497">
      <w:pPr>
        <w:rPr>
          <w:rFonts w:ascii="Times New Roman" w:eastAsia="Times New Roman" w:hAnsi="Times New Roman" w:cs="Times New Roman"/>
          <w:kern w:val="0"/>
          <w:lang w:val="es-CO" w:eastAsia="es-MX"/>
          <w14:ligatures w14:val="none"/>
        </w:rPr>
      </w:pPr>
    </w:p>
    <w:p w14:paraId="0A008C99" w14:textId="77777777" w:rsidR="00277497" w:rsidRPr="00277497" w:rsidRDefault="00277497" w:rsidP="00277497">
      <w:pPr>
        <w:ind w:left="1440"/>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i/>
          <w:iCs/>
          <w:color w:val="000000"/>
          <w:kern w:val="0"/>
          <w:sz w:val="22"/>
          <w:szCs w:val="22"/>
          <w:lang w:val="es-CO" w:eastAsia="es-MX"/>
          <w14:ligatures w14:val="none"/>
        </w:rPr>
        <w:t>“</w:t>
      </w:r>
      <w:r w:rsidRPr="00277497">
        <w:rPr>
          <w:rFonts w:ascii="Verdana" w:eastAsia="Times New Roman" w:hAnsi="Verdana" w:cs="Times New Roman"/>
          <w:i/>
          <w:iCs/>
          <w:color w:val="000000"/>
          <w:kern w:val="0"/>
          <w:sz w:val="22"/>
          <w:szCs w:val="22"/>
          <w:u w:val="single"/>
          <w:lang w:val="es-CO" w:eastAsia="es-MX"/>
          <w14:ligatures w14:val="none"/>
        </w:rPr>
        <w:t>La Sala advierte finalmente que el IVA generado por el retiro de productos del inventario para uso de la sociedad</w:t>
      </w:r>
      <w:r w:rsidRPr="00277497">
        <w:rPr>
          <w:rFonts w:ascii="Verdana" w:eastAsia="Times New Roman" w:hAnsi="Verdana" w:cs="Times New Roman"/>
          <w:i/>
          <w:iCs/>
          <w:color w:val="000000"/>
          <w:kern w:val="0"/>
          <w:sz w:val="22"/>
          <w:szCs w:val="22"/>
          <w:lang w:val="es-CO" w:eastAsia="es-MX"/>
          <w14:ligatures w14:val="none"/>
        </w:rPr>
        <w:t xml:space="preserve"> para premios y publicidad no es un gasto independiente, sino que resulta accesorio al gasto incurrido por la sociedad, en este caso el de publicidad, razón por la cual contrario a lo señalado por el a quo, no es aplicable el artículo 115 del Estatuto Tributario, por cuanto </w:t>
      </w:r>
      <w:r w:rsidRPr="00277497">
        <w:rPr>
          <w:rFonts w:ascii="Verdana" w:eastAsia="Times New Roman" w:hAnsi="Verdana" w:cs="Times New Roman"/>
          <w:i/>
          <w:iCs/>
          <w:color w:val="000000"/>
          <w:kern w:val="0"/>
          <w:sz w:val="22"/>
          <w:szCs w:val="22"/>
          <w:u w:val="single"/>
          <w:lang w:val="es-CO" w:eastAsia="es-MX"/>
          <w14:ligatures w14:val="none"/>
        </w:rPr>
        <w:t>dicho IVA debe ser tratado como un mayor valor del costo o gasto.”</w:t>
      </w:r>
      <w:r w:rsidRPr="00277497">
        <w:rPr>
          <w:rFonts w:ascii="Verdana" w:eastAsia="Times New Roman" w:hAnsi="Verdana" w:cs="Times New Roman"/>
          <w:i/>
          <w:iCs/>
          <w:color w:val="000000"/>
          <w:kern w:val="0"/>
          <w:lang w:val="es-CO" w:eastAsia="es-MX"/>
          <w14:ligatures w14:val="none"/>
        </w:rPr>
        <w:t xml:space="preserve"> </w:t>
      </w:r>
      <w:r w:rsidRPr="00277497">
        <w:rPr>
          <w:rFonts w:ascii="Verdana" w:eastAsia="Times New Roman" w:hAnsi="Verdana" w:cs="Times New Roman"/>
          <w:color w:val="000000"/>
          <w:kern w:val="0"/>
          <w:lang w:val="es-CO" w:eastAsia="es-MX"/>
          <w14:ligatures w14:val="none"/>
        </w:rPr>
        <w:t>(Énfasis propio)</w:t>
      </w:r>
    </w:p>
    <w:p w14:paraId="521E78C9" w14:textId="77777777" w:rsidR="00277497" w:rsidRPr="00277497" w:rsidRDefault="00277497" w:rsidP="00277497">
      <w:pPr>
        <w:rPr>
          <w:rFonts w:ascii="Times New Roman" w:eastAsia="Times New Roman" w:hAnsi="Times New Roman" w:cs="Times New Roman"/>
          <w:kern w:val="0"/>
          <w:lang w:val="es-CO" w:eastAsia="es-MX"/>
          <w14:ligatures w14:val="none"/>
        </w:rPr>
      </w:pPr>
      <w:r w:rsidRPr="00277497">
        <w:rPr>
          <w:rFonts w:ascii="Times New Roman" w:eastAsia="Times New Roman" w:hAnsi="Times New Roman" w:cs="Times New Roman"/>
          <w:kern w:val="0"/>
          <w:lang w:val="es-CO" w:eastAsia="es-MX"/>
          <w14:ligatures w14:val="none"/>
        </w:rPr>
        <w:br/>
      </w:r>
    </w:p>
    <w:p w14:paraId="760CA17D" w14:textId="77777777" w:rsidR="00277497" w:rsidRPr="00277497" w:rsidRDefault="00277497" w:rsidP="00277497">
      <w:pPr>
        <w:numPr>
          <w:ilvl w:val="0"/>
          <w:numId w:val="6"/>
        </w:numPr>
        <w:jc w:val="both"/>
        <w:textAlignment w:val="baseline"/>
        <w:rPr>
          <w:rFonts w:ascii="Verdana" w:eastAsia="Times New Roman" w:hAnsi="Verdana" w:cs="Times New Roman"/>
          <w:color w:val="000000"/>
          <w:kern w:val="0"/>
          <w:lang w:val="es-CO" w:eastAsia="es-MX"/>
          <w14:ligatures w14:val="none"/>
        </w:rPr>
      </w:pPr>
      <w:r w:rsidRPr="00277497">
        <w:rPr>
          <w:rFonts w:ascii="Verdana" w:eastAsia="Times New Roman" w:hAnsi="Verdana" w:cs="Times New Roman"/>
          <w:color w:val="000000"/>
          <w:kern w:val="0"/>
          <w:lang w:val="es-CO" w:eastAsia="es-MX"/>
          <w14:ligatures w14:val="none"/>
        </w:rPr>
        <w:t>En el escenario planteado por el consultante deben distinguirse dos operaciones económicas a saber: i) El IVA pagado en la adquisición de materiales que se utilizarán en la construcción de las viviendas de interés social (en adelante VIS) y vivienda de interés social prioritaria (en adelante VIP) y ii) el retiro de inventario para autoconsumo. Sin embargo, en uno y otro escenario, no cambia el tratamiento tributario que debe darse al impuesto sobre las ventas.</w:t>
      </w:r>
    </w:p>
    <w:p w14:paraId="5D9C3CE2" w14:textId="77777777" w:rsidR="00277497" w:rsidRPr="00277497" w:rsidRDefault="00277497" w:rsidP="00277497">
      <w:pPr>
        <w:rPr>
          <w:rFonts w:ascii="Times New Roman" w:eastAsia="Times New Roman" w:hAnsi="Times New Roman" w:cs="Times New Roman"/>
          <w:kern w:val="0"/>
          <w:lang w:val="es-CO" w:eastAsia="es-MX"/>
          <w14:ligatures w14:val="none"/>
        </w:rPr>
      </w:pPr>
      <w:r w:rsidRPr="00277497">
        <w:rPr>
          <w:rFonts w:ascii="Times New Roman" w:eastAsia="Times New Roman" w:hAnsi="Times New Roman" w:cs="Times New Roman"/>
          <w:kern w:val="0"/>
          <w:lang w:val="es-CO" w:eastAsia="es-MX"/>
          <w14:ligatures w14:val="none"/>
        </w:rPr>
        <w:br/>
      </w:r>
    </w:p>
    <w:p w14:paraId="4DD88956" w14:textId="77777777" w:rsidR="00277497" w:rsidRPr="00277497" w:rsidRDefault="00277497" w:rsidP="00277497">
      <w:pPr>
        <w:numPr>
          <w:ilvl w:val="0"/>
          <w:numId w:val="7"/>
        </w:numPr>
        <w:jc w:val="both"/>
        <w:textAlignment w:val="baseline"/>
        <w:rPr>
          <w:rFonts w:ascii="Verdana" w:eastAsia="Times New Roman" w:hAnsi="Verdana" w:cs="Times New Roman"/>
          <w:color w:val="000000"/>
          <w:kern w:val="0"/>
          <w:lang w:val="es-CO" w:eastAsia="es-MX"/>
          <w14:ligatures w14:val="none"/>
        </w:rPr>
      </w:pPr>
      <w:r w:rsidRPr="00277497">
        <w:rPr>
          <w:rFonts w:ascii="Verdana" w:eastAsia="Times New Roman" w:hAnsi="Verdana" w:cs="Times New Roman"/>
          <w:color w:val="000000"/>
          <w:kern w:val="0"/>
          <w:lang w:val="es-CO" w:eastAsia="es-MX"/>
          <w14:ligatures w14:val="none"/>
        </w:rPr>
        <w:t xml:space="preserve">En la primera operación el contribuyente (comprador) cancela al vendedor el valor de los aludidos insumos y por ende también el valor del impuesto, y en la segunda operación (posterior a la adquisición de los insumos de construcción), el IVA se causa en la fecha del retiro. Es decir, el gravamen se causa en momentos diversos en virtud de la operación </w:t>
      </w:r>
      <w:r w:rsidRPr="00277497">
        <w:rPr>
          <w:rFonts w:ascii="Verdana" w:eastAsia="Times New Roman" w:hAnsi="Verdana" w:cs="Times New Roman"/>
          <w:color w:val="000000"/>
          <w:kern w:val="0"/>
          <w:lang w:val="es-CO" w:eastAsia="es-MX"/>
          <w14:ligatures w14:val="none"/>
        </w:rPr>
        <w:lastRenderedPageBreak/>
        <w:t>económica que se esté realizando, al respecto la doctrina de esta entidad ha señalado:</w:t>
      </w:r>
    </w:p>
    <w:p w14:paraId="07197CEA" w14:textId="77777777" w:rsidR="00277497" w:rsidRPr="00277497" w:rsidRDefault="00277497" w:rsidP="00277497">
      <w:pPr>
        <w:rPr>
          <w:rFonts w:ascii="Times New Roman" w:eastAsia="Times New Roman" w:hAnsi="Times New Roman" w:cs="Times New Roman"/>
          <w:kern w:val="0"/>
          <w:lang w:val="es-CO" w:eastAsia="es-MX"/>
          <w14:ligatures w14:val="none"/>
        </w:rPr>
      </w:pPr>
    </w:p>
    <w:p w14:paraId="77D9DA39" w14:textId="77777777" w:rsidR="00277497" w:rsidRPr="00277497" w:rsidRDefault="00277497" w:rsidP="00277497">
      <w:pPr>
        <w:ind w:left="1440"/>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i/>
          <w:iCs/>
          <w:color w:val="000000"/>
          <w:kern w:val="0"/>
          <w:sz w:val="22"/>
          <w:szCs w:val="22"/>
          <w:lang w:val="es-CO" w:eastAsia="es-MX"/>
          <w14:ligatures w14:val="none"/>
        </w:rPr>
        <w:t xml:space="preserve">“(…) el retiro de inventarios es un hecho que está gravado con IVA cuando se da bajo las circunstancias especificadas en el artículo 421 del Estatuto Tributario. Así, cuando se destinan inventarios a las actividades que generan el impuesto nacional al consumo, no se considera que exista un ‘retiro’ en los términos de los artículos 420 y 421 del Estatuto tributario, puesto que no se destinan al uso propio o a formar parte de los activos fijos de la empresa (al no producirse el hecho previsto en el literal b) del artículo 421 </w:t>
      </w:r>
      <w:proofErr w:type="spellStart"/>
      <w:r w:rsidRPr="00277497">
        <w:rPr>
          <w:rFonts w:ascii="Verdana" w:eastAsia="Times New Roman" w:hAnsi="Verdana" w:cs="Times New Roman"/>
          <w:i/>
          <w:iCs/>
          <w:color w:val="000000"/>
          <w:kern w:val="0"/>
          <w:sz w:val="22"/>
          <w:szCs w:val="22"/>
          <w:lang w:val="es-CO" w:eastAsia="es-MX"/>
          <w14:ligatures w14:val="none"/>
        </w:rPr>
        <w:t>ibídem</w:t>
      </w:r>
      <w:proofErr w:type="spellEnd"/>
      <w:r w:rsidRPr="00277497">
        <w:rPr>
          <w:rFonts w:ascii="Verdana" w:eastAsia="Times New Roman" w:hAnsi="Verdana" w:cs="Times New Roman"/>
          <w:i/>
          <w:iCs/>
          <w:color w:val="000000"/>
          <w:kern w:val="0"/>
          <w:sz w:val="22"/>
          <w:szCs w:val="22"/>
          <w:lang w:val="es-CO" w:eastAsia="es-MX"/>
          <w14:ligatures w14:val="none"/>
        </w:rPr>
        <w:t>).</w:t>
      </w:r>
    </w:p>
    <w:p w14:paraId="7B95A5E7" w14:textId="77777777" w:rsidR="00277497" w:rsidRPr="00277497" w:rsidRDefault="00277497" w:rsidP="00277497">
      <w:pPr>
        <w:rPr>
          <w:rFonts w:ascii="Times New Roman" w:eastAsia="Times New Roman" w:hAnsi="Times New Roman" w:cs="Times New Roman"/>
          <w:kern w:val="0"/>
          <w:lang w:val="es-CO" w:eastAsia="es-MX"/>
          <w14:ligatures w14:val="none"/>
        </w:rPr>
      </w:pPr>
      <w:r w:rsidRPr="00277497">
        <w:rPr>
          <w:rFonts w:ascii="Times New Roman" w:eastAsia="Times New Roman" w:hAnsi="Times New Roman" w:cs="Times New Roman"/>
          <w:kern w:val="0"/>
          <w:lang w:val="es-CO" w:eastAsia="es-MX"/>
          <w14:ligatures w14:val="none"/>
        </w:rPr>
        <w:br/>
      </w:r>
    </w:p>
    <w:p w14:paraId="370A9005" w14:textId="77777777" w:rsidR="00277497" w:rsidRPr="00277497" w:rsidRDefault="00277497" w:rsidP="00277497">
      <w:pPr>
        <w:numPr>
          <w:ilvl w:val="0"/>
          <w:numId w:val="8"/>
        </w:numPr>
        <w:jc w:val="both"/>
        <w:textAlignment w:val="baseline"/>
        <w:rPr>
          <w:rFonts w:ascii="Verdana" w:eastAsia="Times New Roman" w:hAnsi="Verdana" w:cs="Times New Roman"/>
          <w:color w:val="000000"/>
          <w:kern w:val="0"/>
          <w:lang w:val="es-CO" w:eastAsia="es-MX"/>
          <w14:ligatures w14:val="none"/>
        </w:rPr>
      </w:pPr>
      <w:r w:rsidRPr="00277497">
        <w:rPr>
          <w:rFonts w:ascii="Verdana" w:eastAsia="Times New Roman" w:hAnsi="Verdana" w:cs="Times New Roman"/>
          <w:color w:val="000000"/>
          <w:kern w:val="0"/>
          <w:lang w:val="es-CO" w:eastAsia="es-MX"/>
          <w14:ligatures w14:val="none"/>
        </w:rPr>
        <w:t>En el mismo concepto también se indicó que si se efectúa un retiro de inventarios para uso propio o para incorporar el inventario a los activos fijos, en esos casos la persona natural o jurídica según sea el caso, deberá registrarse como responsable de IVA y cumplir todas las obligaciones que ello implica a menos que pueda ser catalogado como no responsable de IVA por cumplir todas las condiciones listadas en el parágrafo 3 del artículo 437 del Estatuto Tributario.</w:t>
      </w:r>
    </w:p>
    <w:p w14:paraId="2B43E875" w14:textId="77777777" w:rsidR="00277497" w:rsidRPr="00277497" w:rsidRDefault="00277497" w:rsidP="00277497">
      <w:pPr>
        <w:rPr>
          <w:rFonts w:ascii="Times New Roman" w:eastAsia="Times New Roman" w:hAnsi="Times New Roman" w:cs="Times New Roman"/>
          <w:kern w:val="0"/>
          <w:lang w:val="es-CO" w:eastAsia="es-MX"/>
          <w14:ligatures w14:val="none"/>
        </w:rPr>
      </w:pPr>
      <w:r w:rsidRPr="00277497">
        <w:rPr>
          <w:rFonts w:ascii="Times New Roman" w:eastAsia="Times New Roman" w:hAnsi="Times New Roman" w:cs="Times New Roman"/>
          <w:kern w:val="0"/>
          <w:lang w:val="es-CO" w:eastAsia="es-MX"/>
          <w14:ligatures w14:val="none"/>
        </w:rPr>
        <w:br/>
      </w:r>
    </w:p>
    <w:p w14:paraId="6739A5C5" w14:textId="77777777" w:rsidR="00277497" w:rsidRPr="00277497" w:rsidRDefault="00277497" w:rsidP="00277497">
      <w:pPr>
        <w:numPr>
          <w:ilvl w:val="0"/>
          <w:numId w:val="9"/>
        </w:numPr>
        <w:jc w:val="both"/>
        <w:textAlignment w:val="baseline"/>
        <w:rPr>
          <w:rFonts w:ascii="Verdana" w:eastAsia="Times New Roman" w:hAnsi="Verdana" w:cs="Times New Roman"/>
          <w:color w:val="000000"/>
          <w:kern w:val="0"/>
          <w:lang w:val="es-CO" w:eastAsia="es-MX"/>
          <w14:ligatures w14:val="none"/>
        </w:rPr>
      </w:pPr>
      <w:r w:rsidRPr="00277497">
        <w:rPr>
          <w:rFonts w:ascii="Verdana" w:eastAsia="Times New Roman" w:hAnsi="Verdana" w:cs="Times New Roman"/>
          <w:color w:val="000000"/>
          <w:kern w:val="0"/>
          <w:lang w:val="es-CO" w:eastAsia="es-MX"/>
          <w14:ligatures w14:val="none"/>
        </w:rPr>
        <w:t>Visto lo anterior, resulta importante señalar que el parágrafo 2 del artículo 850 del Estatuto Tributario establece como presupuesto para la procedencia de la devolución del IVA por el desarrollo de proyectos de construcción de viviendas VIS y VIP, el pago del IVA por la adquisición de materiales para la construcción de esta clase de viviendas, requisito que presupone la existencia de un proveedor a quien se le efectúa dicho pago.</w:t>
      </w:r>
    </w:p>
    <w:p w14:paraId="29996B88" w14:textId="77777777" w:rsidR="00277497" w:rsidRPr="00277497" w:rsidRDefault="00277497" w:rsidP="00277497">
      <w:pPr>
        <w:rPr>
          <w:rFonts w:ascii="Times New Roman" w:eastAsia="Times New Roman" w:hAnsi="Times New Roman" w:cs="Times New Roman"/>
          <w:kern w:val="0"/>
          <w:lang w:val="es-CO" w:eastAsia="es-MX"/>
          <w14:ligatures w14:val="none"/>
        </w:rPr>
      </w:pPr>
      <w:r w:rsidRPr="00277497">
        <w:rPr>
          <w:rFonts w:ascii="Times New Roman" w:eastAsia="Times New Roman" w:hAnsi="Times New Roman" w:cs="Times New Roman"/>
          <w:kern w:val="0"/>
          <w:lang w:val="es-CO" w:eastAsia="es-MX"/>
          <w14:ligatures w14:val="none"/>
        </w:rPr>
        <w:br/>
      </w:r>
    </w:p>
    <w:p w14:paraId="7DBF08A2" w14:textId="77777777" w:rsidR="00277497" w:rsidRPr="00277497" w:rsidRDefault="00277497" w:rsidP="00277497">
      <w:pPr>
        <w:numPr>
          <w:ilvl w:val="0"/>
          <w:numId w:val="10"/>
        </w:numPr>
        <w:jc w:val="both"/>
        <w:textAlignment w:val="baseline"/>
        <w:rPr>
          <w:rFonts w:ascii="Verdana" w:eastAsia="Times New Roman" w:hAnsi="Verdana" w:cs="Times New Roman"/>
          <w:color w:val="000000"/>
          <w:kern w:val="0"/>
          <w:lang w:val="es-CO" w:eastAsia="es-MX"/>
          <w14:ligatures w14:val="none"/>
        </w:rPr>
      </w:pPr>
      <w:r w:rsidRPr="00277497">
        <w:rPr>
          <w:rFonts w:ascii="Verdana" w:eastAsia="Times New Roman" w:hAnsi="Verdana" w:cs="Times New Roman"/>
          <w:color w:val="000000"/>
          <w:kern w:val="0"/>
          <w:lang w:val="es-CO" w:eastAsia="es-MX"/>
          <w14:ligatures w14:val="none"/>
        </w:rPr>
        <w:t>Lo anterior se encuentra en consonancia con lo que establece el numeral 2 del artículo 1.6.1.26.6 del Decreto 1625 de 2016 frente al cumplimiento de uno de los requisitos para la procedencia de la devolución del IVA, que textualmente dispone:</w:t>
      </w:r>
    </w:p>
    <w:p w14:paraId="24BB32F4" w14:textId="77777777" w:rsidR="00277497" w:rsidRPr="00277497" w:rsidRDefault="00277497" w:rsidP="00277497">
      <w:pPr>
        <w:rPr>
          <w:rFonts w:ascii="Times New Roman" w:eastAsia="Times New Roman" w:hAnsi="Times New Roman" w:cs="Times New Roman"/>
          <w:kern w:val="0"/>
          <w:lang w:val="es-CO" w:eastAsia="es-MX"/>
          <w14:ligatures w14:val="none"/>
        </w:rPr>
      </w:pPr>
    </w:p>
    <w:p w14:paraId="3C9E771C" w14:textId="77777777" w:rsidR="00277497" w:rsidRPr="00277497" w:rsidRDefault="00277497" w:rsidP="00277497">
      <w:pPr>
        <w:ind w:left="1440"/>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i/>
          <w:iCs/>
          <w:color w:val="000000"/>
          <w:kern w:val="0"/>
          <w:sz w:val="22"/>
          <w:szCs w:val="22"/>
          <w:u w:val="single"/>
          <w:lang w:val="es-CO" w:eastAsia="es-MX"/>
          <w14:ligatures w14:val="none"/>
        </w:rPr>
        <w:t>Relación</w:t>
      </w:r>
      <w:r w:rsidRPr="00277497">
        <w:rPr>
          <w:rFonts w:ascii="Verdana" w:eastAsia="Times New Roman" w:hAnsi="Verdana" w:cs="Times New Roman"/>
          <w:i/>
          <w:iCs/>
          <w:color w:val="000000"/>
          <w:kern w:val="0"/>
          <w:sz w:val="22"/>
          <w:szCs w:val="22"/>
          <w:lang w:val="es-CO" w:eastAsia="es-MX"/>
          <w14:ligatures w14:val="none"/>
        </w:rPr>
        <w:t xml:space="preserve"> certificada por revisor fiscal o contador público, según el caso, </w:t>
      </w:r>
      <w:r w:rsidRPr="00277497">
        <w:rPr>
          <w:rFonts w:ascii="Verdana" w:eastAsia="Times New Roman" w:hAnsi="Verdana" w:cs="Times New Roman"/>
          <w:i/>
          <w:iCs/>
          <w:color w:val="000000"/>
          <w:kern w:val="0"/>
          <w:sz w:val="22"/>
          <w:szCs w:val="22"/>
          <w:u w:val="single"/>
          <w:lang w:val="es-CO" w:eastAsia="es-MX"/>
          <w14:ligatures w14:val="none"/>
        </w:rPr>
        <w:t xml:space="preserve">de las facturas de </w:t>
      </w:r>
      <w:r w:rsidRPr="00277497">
        <w:rPr>
          <w:rFonts w:ascii="Verdana" w:eastAsia="Times New Roman" w:hAnsi="Verdana" w:cs="Times New Roman"/>
          <w:b/>
          <w:bCs/>
          <w:i/>
          <w:iCs/>
          <w:color w:val="000000"/>
          <w:kern w:val="0"/>
          <w:sz w:val="22"/>
          <w:szCs w:val="22"/>
          <w:u w:val="single"/>
          <w:lang w:val="es-CO" w:eastAsia="es-MX"/>
          <w14:ligatures w14:val="none"/>
        </w:rPr>
        <w:t>compra de materiales utilizados</w:t>
      </w:r>
      <w:r w:rsidRPr="00277497">
        <w:rPr>
          <w:rFonts w:ascii="Verdana" w:eastAsia="Times New Roman" w:hAnsi="Verdana" w:cs="Times New Roman"/>
          <w:b/>
          <w:bCs/>
          <w:i/>
          <w:iCs/>
          <w:color w:val="000000"/>
          <w:kern w:val="0"/>
          <w:sz w:val="22"/>
          <w:szCs w:val="22"/>
          <w:lang w:val="es-CO" w:eastAsia="es-MX"/>
          <w14:ligatures w14:val="none"/>
        </w:rPr>
        <w:t xml:space="preserve"> </w:t>
      </w:r>
      <w:r w:rsidRPr="00277497">
        <w:rPr>
          <w:rFonts w:ascii="Verdana" w:eastAsia="Times New Roman" w:hAnsi="Verdana" w:cs="Times New Roman"/>
          <w:i/>
          <w:iCs/>
          <w:color w:val="000000"/>
          <w:kern w:val="0"/>
          <w:sz w:val="22"/>
          <w:szCs w:val="22"/>
          <w:lang w:val="es-CO" w:eastAsia="es-MX"/>
          <w14:ligatures w14:val="none"/>
        </w:rPr>
        <w:t xml:space="preserve">para la construcción de las viviendas de interés social y vivienda de interés social prioritaria, </w:t>
      </w:r>
      <w:r w:rsidRPr="00277497">
        <w:rPr>
          <w:rFonts w:ascii="Verdana" w:eastAsia="Times New Roman" w:hAnsi="Verdana" w:cs="Times New Roman"/>
          <w:i/>
          <w:iCs/>
          <w:color w:val="000000"/>
          <w:kern w:val="0"/>
          <w:sz w:val="22"/>
          <w:szCs w:val="22"/>
          <w:u w:val="single"/>
          <w:lang w:val="es-CO" w:eastAsia="es-MX"/>
          <w14:ligatures w14:val="none"/>
        </w:rPr>
        <w:t>indicando</w:t>
      </w:r>
      <w:r w:rsidRPr="00277497">
        <w:rPr>
          <w:rFonts w:ascii="Verdana" w:eastAsia="Times New Roman" w:hAnsi="Verdana" w:cs="Times New Roman"/>
          <w:i/>
          <w:iCs/>
          <w:color w:val="000000"/>
          <w:kern w:val="0"/>
          <w:sz w:val="22"/>
          <w:szCs w:val="22"/>
          <w:lang w:val="es-CO" w:eastAsia="es-MX"/>
          <w14:ligatures w14:val="none"/>
        </w:rPr>
        <w:t xml:space="preserve"> su número, el </w:t>
      </w:r>
      <w:r w:rsidRPr="00277497">
        <w:rPr>
          <w:rFonts w:ascii="Verdana" w:eastAsia="Times New Roman" w:hAnsi="Verdana" w:cs="Times New Roman"/>
          <w:i/>
          <w:iCs/>
          <w:color w:val="000000"/>
          <w:kern w:val="0"/>
          <w:sz w:val="22"/>
          <w:szCs w:val="22"/>
          <w:u w:val="single"/>
          <w:lang w:val="es-CO" w:eastAsia="es-MX"/>
          <w14:ligatures w14:val="none"/>
        </w:rPr>
        <w:t>nombre y apellidos o razón social</w:t>
      </w:r>
      <w:r w:rsidRPr="00277497">
        <w:rPr>
          <w:rFonts w:ascii="Verdana" w:eastAsia="Times New Roman" w:hAnsi="Verdana" w:cs="Times New Roman"/>
          <w:i/>
          <w:iCs/>
          <w:color w:val="000000"/>
          <w:kern w:val="0"/>
          <w:sz w:val="22"/>
          <w:szCs w:val="22"/>
          <w:lang w:val="es-CO" w:eastAsia="es-MX"/>
          <w14:ligatures w14:val="none"/>
        </w:rPr>
        <w:t xml:space="preserve">, y Número de Identificación Tributaria (NIT) </w:t>
      </w:r>
      <w:r w:rsidRPr="00277497">
        <w:rPr>
          <w:rFonts w:ascii="Verdana" w:eastAsia="Times New Roman" w:hAnsi="Verdana" w:cs="Times New Roman"/>
          <w:i/>
          <w:iCs/>
          <w:color w:val="000000"/>
          <w:kern w:val="0"/>
          <w:sz w:val="22"/>
          <w:szCs w:val="22"/>
          <w:u w:val="single"/>
          <w:lang w:val="es-CO" w:eastAsia="es-MX"/>
          <w14:ligatures w14:val="none"/>
        </w:rPr>
        <w:t xml:space="preserve">del </w:t>
      </w:r>
      <w:r w:rsidRPr="00277497">
        <w:rPr>
          <w:rFonts w:ascii="Verdana" w:eastAsia="Times New Roman" w:hAnsi="Verdana" w:cs="Times New Roman"/>
          <w:b/>
          <w:bCs/>
          <w:i/>
          <w:iCs/>
          <w:color w:val="000000"/>
          <w:kern w:val="0"/>
          <w:sz w:val="22"/>
          <w:szCs w:val="22"/>
          <w:u w:val="single"/>
          <w:lang w:val="es-CO" w:eastAsia="es-MX"/>
          <w14:ligatures w14:val="none"/>
        </w:rPr>
        <w:t>proveedor,</w:t>
      </w:r>
      <w:r w:rsidRPr="00277497">
        <w:rPr>
          <w:rFonts w:ascii="Verdana" w:eastAsia="Times New Roman" w:hAnsi="Verdana" w:cs="Times New Roman"/>
          <w:b/>
          <w:bCs/>
          <w:i/>
          <w:iCs/>
          <w:color w:val="000000"/>
          <w:kern w:val="0"/>
          <w:sz w:val="22"/>
          <w:szCs w:val="22"/>
          <w:lang w:val="es-CO" w:eastAsia="es-MX"/>
          <w14:ligatures w14:val="none"/>
        </w:rPr>
        <w:t xml:space="preserve"> </w:t>
      </w:r>
      <w:r w:rsidRPr="00277497">
        <w:rPr>
          <w:rFonts w:ascii="Verdana" w:eastAsia="Times New Roman" w:hAnsi="Verdana" w:cs="Times New Roman"/>
          <w:i/>
          <w:iCs/>
          <w:color w:val="000000"/>
          <w:kern w:val="0"/>
          <w:sz w:val="22"/>
          <w:szCs w:val="22"/>
          <w:lang w:val="es-CO" w:eastAsia="es-MX"/>
          <w14:ligatures w14:val="none"/>
        </w:rPr>
        <w:t xml:space="preserve">valor de los bienes adquiridos, valor del impuesto sobre las ventas - IVA cancelado el cual debe estar discriminado en ellas y la descripción de los bienes. </w:t>
      </w:r>
      <w:r w:rsidRPr="00277497">
        <w:rPr>
          <w:rFonts w:ascii="Verdana" w:eastAsia="Times New Roman" w:hAnsi="Verdana" w:cs="Times New Roman"/>
          <w:color w:val="000000"/>
          <w:kern w:val="0"/>
          <w:lang w:val="es-CO" w:eastAsia="es-MX"/>
          <w14:ligatures w14:val="none"/>
        </w:rPr>
        <w:t>(Énfasis propio)</w:t>
      </w:r>
    </w:p>
    <w:p w14:paraId="264C370E"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ab/>
      </w:r>
      <w:r w:rsidRPr="00277497">
        <w:rPr>
          <w:rFonts w:ascii="Verdana" w:eastAsia="Times New Roman" w:hAnsi="Verdana" w:cs="Times New Roman"/>
          <w:color w:val="000000"/>
          <w:kern w:val="0"/>
          <w:lang w:val="es-CO" w:eastAsia="es-MX"/>
          <w14:ligatures w14:val="none"/>
        </w:rPr>
        <w:tab/>
      </w:r>
    </w:p>
    <w:p w14:paraId="54E8CB4F" w14:textId="77777777" w:rsidR="00277497" w:rsidRPr="00277497" w:rsidRDefault="00277497" w:rsidP="00277497">
      <w:pPr>
        <w:numPr>
          <w:ilvl w:val="0"/>
          <w:numId w:val="11"/>
        </w:numPr>
        <w:jc w:val="both"/>
        <w:textAlignment w:val="baseline"/>
        <w:rPr>
          <w:rFonts w:ascii="Verdana" w:eastAsia="Times New Roman" w:hAnsi="Verdana" w:cs="Times New Roman"/>
          <w:color w:val="000000"/>
          <w:kern w:val="0"/>
          <w:lang w:val="es-CO" w:eastAsia="es-MX"/>
          <w14:ligatures w14:val="none"/>
        </w:rPr>
      </w:pPr>
      <w:r w:rsidRPr="00277497">
        <w:rPr>
          <w:rFonts w:ascii="Verdana" w:eastAsia="Times New Roman" w:hAnsi="Verdana" w:cs="Times New Roman"/>
          <w:color w:val="000000"/>
          <w:kern w:val="0"/>
          <w:lang w:val="es-CO" w:eastAsia="es-MX"/>
          <w14:ligatures w14:val="none"/>
        </w:rPr>
        <w:t xml:space="preserve">Conforme a lo dilucidado en el párrafo 7 de este acto administrativo y de lo resaltado en la norma transcrita se extrae que los materiales </w:t>
      </w:r>
      <w:r w:rsidRPr="00277497">
        <w:rPr>
          <w:rFonts w:ascii="Verdana" w:eastAsia="Times New Roman" w:hAnsi="Verdana" w:cs="Times New Roman"/>
          <w:color w:val="000000"/>
          <w:kern w:val="0"/>
          <w:lang w:val="es-CO" w:eastAsia="es-MX"/>
          <w14:ligatures w14:val="none"/>
        </w:rPr>
        <w:lastRenderedPageBreak/>
        <w:t>utilizados en la construcción de los referidos proyectos deben ser previamente adquiridos a un tercero que la norma denomina proveedor (operación económica No. 1) más no los retirados del inventario del constructor (operación económica No. 2).</w:t>
      </w:r>
    </w:p>
    <w:p w14:paraId="01CC6A86" w14:textId="77777777" w:rsidR="00277497" w:rsidRPr="00277497" w:rsidRDefault="00277497" w:rsidP="00277497">
      <w:pPr>
        <w:rPr>
          <w:rFonts w:ascii="Times New Roman" w:eastAsia="Times New Roman" w:hAnsi="Times New Roman" w:cs="Times New Roman"/>
          <w:kern w:val="0"/>
          <w:lang w:val="es-CO" w:eastAsia="es-MX"/>
          <w14:ligatures w14:val="none"/>
        </w:rPr>
      </w:pPr>
      <w:r w:rsidRPr="00277497">
        <w:rPr>
          <w:rFonts w:ascii="Times New Roman" w:eastAsia="Times New Roman" w:hAnsi="Times New Roman" w:cs="Times New Roman"/>
          <w:kern w:val="0"/>
          <w:lang w:val="es-CO" w:eastAsia="es-MX"/>
          <w14:ligatures w14:val="none"/>
        </w:rPr>
        <w:br/>
      </w:r>
    </w:p>
    <w:p w14:paraId="1A1F3B79" w14:textId="77777777" w:rsidR="00277497" w:rsidRPr="00277497" w:rsidRDefault="00277497" w:rsidP="00277497">
      <w:pPr>
        <w:numPr>
          <w:ilvl w:val="0"/>
          <w:numId w:val="12"/>
        </w:numPr>
        <w:jc w:val="both"/>
        <w:textAlignment w:val="baseline"/>
        <w:rPr>
          <w:rFonts w:ascii="Verdana" w:eastAsia="Times New Roman" w:hAnsi="Verdana" w:cs="Times New Roman"/>
          <w:color w:val="000000"/>
          <w:kern w:val="0"/>
          <w:lang w:val="es-CO" w:eastAsia="es-MX"/>
          <w14:ligatures w14:val="none"/>
        </w:rPr>
      </w:pPr>
      <w:r w:rsidRPr="00277497">
        <w:rPr>
          <w:rFonts w:ascii="Verdana" w:eastAsia="Times New Roman" w:hAnsi="Verdana" w:cs="Times New Roman"/>
          <w:color w:val="000000"/>
          <w:kern w:val="0"/>
          <w:lang w:val="es-CO" w:eastAsia="es-MX"/>
          <w14:ligatures w14:val="none"/>
        </w:rPr>
        <w:t>Así las cosas, el IVA que otorga el derecho a devolución es el que efectivamente se pague a un tercero proveedor por la adquisición de materiales utilizados en la construcción de proyectos de viviendas VIS y VIP. En este sentido, cuando el contribuyente realice retiro de inventario de estos bienes no se cumpliría con este presupuesto porque si bien asume el pago del IVA no está realizando el pago a un tercero. En consecuencia, dicho IVA no es susceptible de devolución en los términos que establece el artículo 850 del Estatuto Tributario y el numeral 2 del artículo 1.6.1.26.6 del Decreto 1625 de 2016,</w:t>
      </w:r>
    </w:p>
    <w:p w14:paraId="3B394B8E" w14:textId="77777777" w:rsidR="00277497" w:rsidRPr="00277497" w:rsidRDefault="00277497" w:rsidP="00277497">
      <w:pPr>
        <w:rPr>
          <w:rFonts w:ascii="Times New Roman" w:eastAsia="Times New Roman" w:hAnsi="Times New Roman" w:cs="Times New Roman"/>
          <w:kern w:val="0"/>
          <w:lang w:val="es-CO" w:eastAsia="es-MX"/>
          <w14:ligatures w14:val="none"/>
        </w:rPr>
      </w:pPr>
      <w:r w:rsidRPr="00277497">
        <w:rPr>
          <w:rFonts w:ascii="Times New Roman" w:eastAsia="Times New Roman" w:hAnsi="Times New Roman" w:cs="Times New Roman"/>
          <w:kern w:val="0"/>
          <w:lang w:val="es-CO" w:eastAsia="es-MX"/>
          <w14:ligatures w14:val="none"/>
        </w:rPr>
        <w:br/>
      </w:r>
    </w:p>
    <w:p w14:paraId="201452B7" w14:textId="77777777" w:rsidR="00277497" w:rsidRPr="00277497" w:rsidRDefault="00277497" w:rsidP="00277497">
      <w:pPr>
        <w:numPr>
          <w:ilvl w:val="0"/>
          <w:numId w:val="13"/>
        </w:numPr>
        <w:jc w:val="both"/>
        <w:textAlignment w:val="baseline"/>
        <w:rPr>
          <w:rFonts w:ascii="Verdana" w:eastAsia="Times New Roman" w:hAnsi="Verdana" w:cs="Times New Roman"/>
          <w:color w:val="000000"/>
          <w:kern w:val="0"/>
          <w:lang w:val="es-CO" w:eastAsia="es-MX"/>
          <w14:ligatures w14:val="none"/>
        </w:rPr>
      </w:pPr>
      <w:r w:rsidRPr="00277497">
        <w:rPr>
          <w:rFonts w:ascii="Verdana" w:eastAsia="Times New Roman" w:hAnsi="Verdana" w:cs="Times New Roman"/>
          <w:color w:val="000000"/>
          <w:kern w:val="0"/>
          <w:lang w:val="es-CO" w:eastAsia="es-MX"/>
          <w14:ligatures w14:val="none"/>
        </w:rPr>
        <w:t>Sin perjuicio de lo anterior, el IVA pagado por este retiro de inventario podrá ser solicitado como descontable siempre que se cumplan con las condiciones que establece el artículo 488 del Estatuto Tributario, es decir que sea computable como costo o gasto de acuerdo con las disposiciones del impuesto sobre la renta.</w:t>
      </w:r>
    </w:p>
    <w:p w14:paraId="46B5FEF0" w14:textId="77777777" w:rsidR="00277497" w:rsidRPr="00277497" w:rsidRDefault="00277497" w:rsidP="00277497">
      <w:pPr>
        <w:rPr>
          <w:rFonts w:ascii="Times New Roman" w:eastAsia="Times New Roman" w:hAnsi="Times New Roman" w:cs="Times New Roman"/>
          <w:kern w:val="0"/>
          <w:lang w:val="es-CO" w:eastAsia="es-MX"/>
          <w14:ligatures w14:val="none"/>
        </w:rPr>
      </w:pPr>
      <w:r w:rsidRPr="00277497">
        <w:rPr>
          <w:rFonts w:ascii="Times New Roman" w:eastAsia="Times New Roman" w:hAnsi="Times New Roman" w:cs="Times New Roman"/>
          <w:kern w:val="0"/>
          <w:lang w:val="es-CO" w:eastAsia="es-MX"/>
          <w14:ligatures w14:val="none"/>
        </w:rPr>
        <w:br/>
      </w:r>
    </w:p>
    <w:p w14:paraId="4F020977" w14:textId="77777777" w:rsidR="00277497" w:rsidRPr="00277497" w:rsidRDefault="00277497" w:rsidP="00277497">
      <w:pPr>
        <w:numPr>
          <w:ilvl w:val="0"/>
          <w:numId w:val="14"/>
        </w:numPr>
        <w:jc w:val="both"/>
        <w:textAlignment w:val="baseline"/>
        <w:rPr>
          <w:rFonts w:ascii="Verdana" w:eastAsia="Times New Roman" w:hAnsi="Verdana" w:cs="Times New Roman"/>
          <w:color w:val="000000"/>
          <w:kern w:val="0"/>
          <w:lang w:val="es-CO" w:eastAsia="es-MX"/>
          <w14:ligatures w14:val="none"/>
        </w:rPr>
      </w:pPr>
      <w:r w:rsidRPr="00277497">
        <w:rPr>
          <w:rFonts w:ascii="Verdana" w:eastAsia="Times New Roman" w:hAnsi="Verdana" w:cs="Times New Roman"/>
          <w:color w:val="000000"/>
          <w:kern w:val="0"/>
          <w:lang w:val="es-CO" w:eastAsia="es-MX"/>
          <w14:ligatures w14:val="none"/>
        </w:rPr>
        <w:t>Hechas las anteriores precisiones, este Despacho concluye para efectos de solicitar la devolución de IVA pagado a un tercero por la adquisición de materiales utilizados en la construcción de viviendas de interés social y social prioritaria, que se debe dar estricto cumplimiento a lo establecido en el numeral 2 del artículo 1.6.1.26.6 del Decreto 1625 de 2016.</w:t>
      </w:r>
    </w:p>
    <w:p w14:paraId="1C31F0A0" w14:textId="77777777" w:rsidR="00277497" w:rsidRPr="00277497" w:rsidRDefault="00277497" w:rsidP="00277497">
      <w:pPr>
        <w:rPr>
          <w:rFonts w:ascii="Times New Roman" w:eastAsia="Times New Roman" w:hAnsi="Times New Roman" w:cs="Times New Roman"/>
          <w:kern w:val="0"/>
          <w:lang w:val="es-CO" w:eastAsia="es-MX"/>
          <w14:ligatures w14:val="none"/>
        </w:rPr>
      </w:pPr>
    </w:p>
    <w:p w14:paraId="42E8EE29"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r w:rsidRPr="00277497">
        <w:rPr>
          <w:rFonts w:ascii="Verdana" w:eastAsia="Times New Roman" w:hAnsi="Verdana" w:cs="Times New Roman"/>
          <w:color w:val="000000"/>
          <w:kern w:val="0"/>
          <w:u w:val="single"/>
          <w:lang w:val="es-CO" w:eastAsia="es-MX"/>
          <w14:ligatures w14:val="none"/>
        </w:rPr>
        <w:t>https://normograma.dian.gov.co/dian/</w:t>
      </w:r>
      <w:r w:rsidRPr="00277497">
        <w:rPr>
          <w:rFonts w:ascii="Verdana" w:eastAsia="Times New Roman" w:hAnsi="Verdana" w:cs="Times New Roman"/>
          <w:color w:val="000000"/>
          <w:kern w:val="0"/>
          <w:lang w:val="es-CO" w:eastAsia="es-MX"/>
          <w14:ligatures w14:val="none"/>
        </w:rPr>
        <w:t>.</w:t>
      </w:r>
    </w:p>
    <w:p w14:paraId="7D057208" w14:textId="77777777" w:rsidR="00277497" w:rsidRPr="00277497" w:rsidRDefault="00277497" w:rsidP="00277497">
      <w:pPr>
        <w:spacing w:after="240"/>
        <w:rPr>
          <w:rFonts w:ascii="Times New Roman" w:eastAsia="Times New Roman" w:hAnsi="Times New Roman" w:cs="Times New Roman"/>
          <w:kern w:val="0"/>
          <w:lang w:val="es-CO" w:eastAsia="es-MX"/>
          <w14:ligatures w14:val="none"/>
        </w:rPr>
      </w:pPr>
    </w:p>
    <w:p w14:paraId="54F4A6A0"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Atentamente,</w:t>
      </w:r>
    </w:p>
    <w:p w14:paraId="48A91C6B" w14:textId="77777777" w:rsidR="00277497" w:rsidRPr="00277497" w:rsidRDefault="00277497" w:rsidP="00277497">
      <w:pPr>
        <w:spacing w:after="240"/>
        <w:rPr>
          <w:rFonts w:ascii="Times New Roman" w:eastAsia="Times New Roman" w:hAnsi="Times New Roman" w:cs="Times New Roman"/>
          <w:kern w:val="0"/>
          <w:lang w:val="es-CO" w:eastAsia="es-MX"/>
          <w14:ligatures w14:val="none"/>
        </w:rPr>
      </w:pPr>
      <w:r w:rsidRPr="00277497">
        <w:rPr>
          <w:rFonts w:ascii="Times New Roman" w:eastAsia="Times New Roman" w:hAnsi="Times New Roman" w:cs="Times New Roman"/>
          <w:kern w:val="0"/>
          <w:lang w:val="es-CO" w:eastAsia="es-MX"/>
          <w14:ligatures w14:val="none"/>
        </w:rPr>
        <w:br/>
      </w:r>
    </w:p>
    <w:p w14:paraId="1AB41BFA"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b/>
          <w:bCs/>
          <w:color w:val="000000"/>
          <w:kern w:val="0"/>
          <w:lang w:val="es-CO" w:eastAsia="es-MX"/>
          <w14:ligatures w14:val="none"/>
        </w:rPr>
        <w:t>INGRID CASTAÑEDA CEPEDA</w:t>
      </w:r>
    </w:p>
    <w:p w14:paraId="0AA1F6E7"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Subdirectora de Normativa y Doctrina (A)</w:t>
      </w:r>
    </w:p>
    <w:p w14:paraId="0289AE6C"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Dirección de Gestión Jurídica</w:t>
      </w:r>
    </w:p>
    <w:p w14:paraId="76F5290B"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lastRenderedPageBreak/>
        <w:t>U.A.E. Dirección de Impuestos y Aduanas Nacionales – DIAN</w:t>
      </w:r>
    </w:p>
    <w:p w14:paraId="36347399"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Dirección: Cra. 8 # 6C-38 Edificio San Agustín - Piso 4</w:t>
      </w:r>
    </w:p>
    <w:p w14:paraId="154394DE"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lang w:val="es-CO" w:eastAsia="es-MX"/>
          <w14:ligatures w14:val="none"/>
        </w:rPr>
        <w:t>Bogotá, D.C.</w:t>
      </w:r>
    </w:p>
    <w:p w14:paraId="5CB2CBC8" w14:textId="77777777" w:rsidR="00277497" w:rsidRPr="00277497" w:rsidRDefault="00277497" w:rsidP="00277497">
      <w:pPr>
        <w:jc w:val="both"/>
        <w:rPr>
          <w:rFonts w:ascii="Times New Roman" w:eastAsia="Times New Roman" w:hAnsi="Times New Roman" w:cs="Times New Roman"/>
          <w:kern w:val="0"/>
          <w:lang w:val="es-CO" w:eastAsia="es-MX"/>
          <w14:ligatures w14:val="none"/>
        </w:rPr>
      </w:pPr>
      <w:r w:rsidRPr="00277497">
        <w:rPr>
          <w:rFonts w:ascii="Verdana" w:eastAsia="Times New Roman" w:hAnsi="Verdana" w:cs="Times New Roman"/>
          <w:color w:val="000000"/>
          <w:kern w:val="0"/>
          <w:u w:val="single"/>
          <w:lang w:val="es-CO" w:eastAsia="es-MX"/>
          <w14:ligatures w14:val="none"/>
        </w:rPr>
        <w:t>www.dian.gov.co</w:t>
      </w:r>
    </w:p>
    <w:p w14:paraId="5240AE44" w14:textId="77777777" w:rsidR="00277497" w:rsidRPr="00277497" w:rsidRDefault="00277497" w:rsidP="00277497">
      <w:pPr>
        <w:rPr>
          <w:rFonts w:ascii="Times New Roman" w:eastAsia="Times New Roman" w:hAnsi="Times New Roman" w:cs="Times New Roman"/>
          <w:kern w:val="0"/>
          <w:lang w:val="es-CO" w:eastAsia="es-MX"/>
          <w14:ligatures w14:val="none"/>
        </w:rPr>
      </w:pPr>
    </w:p>
    <w:p w14:paraId="02A173E2"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83B80"/>
    <w:multiLevelType w:val="multilevel"/>
    <w:tmpl w:val="CBA28C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8246FC"/>
    <w:multiLevelType w:val="multilevel"/>
    <w:tmpl w:val="D08E776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757AE6"/>
    <w:multiLevelType w:val="multilevel"/>
    <w:tmpl w:val="3DA676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400AC6"/>
    <w:multiLevelType w:val="multilevel"/>
    <w:tmpl w:val="0EEA9B1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2411B28"/>
    <w:multiLevelType w:val="multilevel"/>
    <w:tmpl w:val="F392B26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B672F7"/>
    <w:multiLevelType w:val="multilevel"/>
    <w:tmpl w:val="6D7E11A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C1F445A"/>
    <w:multiLevelType w:val="multilevel"/>
    <w:tmpl w:val="09E2A5F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E417FF6"/>
    <w:multiLevelType w:val="multilevel"/>
    <w:tmpl w:val="BE28B24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FFE2DBF"/>
    <w:multiLevelType w:val="multilevel"/>
    <w:tmpl w:val="59BE5C8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9411932"/>
    <w:multiLevelType w:val="multilevel"/>
    <w:tmpl w:val="960E1B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5316344"/>
    <w:multiLevelType w:val="multilevel"/>
    <w:tmpl w:val="E58A6D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1119AE"/>
    <w:multiLevelType w:val="multilevel"/>
    <w:tmpl w:val="9DD8F11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7A008B7"/>
    <w:multiLevelType w:val="multilevel"/>
    <w:tmpl w:val="1D56D4A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B0379D1"/>
    <w:multiLevelType w:val="multilevel"/>
    <w:tmpl w:val="2F984E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5587001">
    <w:abstractNumId w:val="2"/>
  </w:num>
  <w:num w:numId="2" w16cid:durableId="660239401">
    <w:abstractNumId w:val="9"/>
    <w:lvlOverride w:ilvl="0">
      <w:lvl w:ilvl="0">
        <w:numFmt w:val="decimal"/>
        <w:lvlText w:val="%1."/>
        <w:lvlJc w:val="left"/>
      </w:lvl>
    </w:lvlOverride>
  </w:num>
  <w:num w:numId="3" w16cid:durableId="1814835763">
    <w:abstractNumId w:val="3"/>
    <w:lvlOverride w:ilvl="0">
      <w:lvl w:ilvl="0">
        <w:numFmt w:val="decimal"/>
        <w:lvlText w:val="%1."/>
        <w:lvlJc w:val="left"/>
      </w:lvl>
    </w:lvlOverride>
  </w:num>
  <w:num w:numId="4" w16cid:durableId="313919116">
    <w:abstractNumId w:val="1"/>
    <w:lvlOverride w:ilvl="0">
      <w:lvl w:ilvl="0">
        <w:numFmt w:val="decimal"/>
        <w:lvlText w:val="%1."/>
        <w:lvlJc w:val="left"/>
      </w:lvl>
    </w:lvlOverride>
  </w:num>
  <w:num w:numId="5" w16cid:durableId="928343367">
    <w:abstractNumId w:val="0"/>
    <w:lvlOverride w:ilvl="0">
      <w:lvl w:ilvl="0">
        <w:numFmt w:val="decimal"/>
        <w:lvlText w:val="%1."/>
        <w:lvlJc w:val="left"/>
      </w:lvl>
    </w:lvlOverride>
  </w:num>
  <w:num w:numId="6" w16cid:durableId="922447105">
    <w:abstractNumId w:val="13"/>
    <w:lvlOverride w:ilvl="0">
      <w:lvl w:ilvl="0">
        <w:numFmt w:val="decimal"/>
        <w:lvlText w:val="%1."/>
        <w:lvlJc w:val="left"/>
      </w:lvl>
    </w:lvlOverride>
  </w:num>
  <w:num w:numId="7" w16cid:durableId="2063752332">
    <w:abstractNumId w:val="8"/>
    <w:lvlOverride w:ilvl="0">
      <w:lvl w:ilvl="0">
        <w:numFmt w:val="decimal"/>
        <w:lvlText w:val="%1."/>
        <w:lvlJc w:val="left"/>
      </w:lvl>
    </w:lvlOverride>
  </w:num>
  <w:num w:numId="8" w16cid:durableId="92895472">
    <w:abstractNumId w:val="11"/>
    <w:lvlOverride w:ilvl="0">
      <w:lvl w:ilvl="0">
        <w:numFmt w:val="decimal"/>
        <w:lvlText w:val="%1."/>
        <w:lvlJc w:val="left"/>
      </w:lvl>
    </w:lvlOverride>
  </w:num>
  <w:num w:numId="9" w16cid:durableId="1759253321">
    <w:abstractNumId w:val="10"/>
    <w:lvlOverride w:ilvl="0">
      <w:lvl w:ilvl="0">
        <w:numFmt w:val="decimal"/>
        <w:lvlText w:val="%1."/>
        <w:lvlJc w:val="left"/>
      </w:lvl>
    </w:lvlOverride>
  </w:num>
  <w:num w:numId="10" w16cid:durableId="817764718">
    <w:abstractNumId w:val="4"/>
    <w:lvlOverride w:ilvl="0">
      <w:lvl w:ilvl="0">
        <w:numFmt w:val="decimal"/>
        <w:lvlText w:val="%1."/>
        <w:lvlJc w:val="left"/>
      </w:lvl>
    </w:lvlOverride>
  </w:num>
  <w:num w:numId="11" w16cid:durableId="806317000">
    <w:abstractNumId w:val="6"/>
    <w:lvlOverride w:ilvl="0">
      <w:lvl w:ilvl="0">
        <w:numFmt w:val="decimal"/>
        <w:lvlText w:val="%1."/>
        <w:lvlJc w:val="left"/>
      </w:lvl>
    </w:lvlOverride>
  </w:num>
  <w:num w:numId="12" w16cid:durableId="1974671338">
    <w:abstractNumId w:val="12"/>
    <w:lvlOverride w:ilvl="0">
      <w:lvl w:ilvl="0">
        <w:numFmt w:val="decimal"/>
        <w:lvlText w:val="%1."/>
        <w:lvlJc w:val="left"/>
      </w:lvl>
    </w:lvlOverride>
  </w:num>
  <w:num w:numId="13" w16cid:durableId="2114546434">
    <w:abstractNumId w:val="7"/>
    <w:lvlOverride w:ilvl="0">
      <w:lvl w:ilvl="0">
        <w:numFmt w:val="decimal"/>
        <w:lvlText w:val="%1."/>
        <w:lvlJc w:val="left"/>
      </w:lvl>
    </w:lvlOverride>
  </w:num>
  <w:num w:numId="14" w16cid:durableId="425158024">
    <w:abstractNumId w:val="5"/>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497"/>
    <w:rsid w:val="000B2285"/>
    <w:rsid w:val="00277497"/>
    <w:rsid w:val="00284D72"/>
    <w:rsid w:val="00537D8F"/>
    <w:rsid w:val="00634C47"/>
    <w:rsid w:val="00B83A7B"/>
    <w:rsid w:val="00D04BFA"/>
    <w:rsid w:val="00F92281"/>
    <w:rsid w:val="00FF031F"/>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75E92"/>
  <w14:defaultImageDpi w14:val="32767"/>
  <w15:chartTrackingRefBased/>
  <w15:docId w15:val="{B587AB7A-4AC7-A444-B7E2-D69184516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7749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7749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7749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7749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7749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7749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7749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7749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7749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7749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7749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7749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7749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7749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7749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7749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7749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77497"/>
    <w:rPr>
      <w:rFonts w:eastAsiaTheme="majorEastAsia" w:cstheme="majorBidi"/>
      <w:color w:val="272727" w:themeColor="text1" w:themeTint="D8"/>
    </w:rPr>
  </w:style>
  <w:style w:type="paragraph" w:styleId="Ttulo">
    <w:name w:val="Title"/>
    <w:basedOn w:val="Normal"/>
    <w:next w:val="Normal"/>
    <w:link w:val="TtuloCar"/>
    <w:uiPriority w:val="10"/>
    <w:qFormat/>
    <w:rsid w:val="0027749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7749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7749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7749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7749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77497"/>
    <w:rPr>
      <w:i/>
      <w:iCs/>
      <w:color w:val="404040" w:themeColor="text1" w:themeTint="BF"/>
    </w:rPr>
  </w:style>
  <w:style w:type="paragraph" w:styleId="Prrafodelista">
    <w:name w:val="List Paragraph"/>
    <w:basedOn w:val="Normal"/>
    <w:uiPriority w:val="34"/>
    <w:qFormat/>
    <w:rsid w:val="00277497"/>
    <w:pPr>
      <w:ind w:left="720"/>
      <w:contextualSpacing/>
    </w:pPr>
  </w:style>
  <w:style w:type="character" w:styleId="nfasisintenso">
    <w:name w:val="Intense Emphasis"/>
    <w:basedOn w:val="Fuentedeprrafopredeter"/>
    <w:uiPriority w:val="21"/>
    <w:qFormat/>
    <w:rsid w:val="00277497"/>
    <w:rPr>
      <w:i/>
      <w:iCs/>
      <w:color w:val="2F5496" w:themeColor="accent1" w:themeShade="BF"/>
    </w:rPr>
  </w:style>
  <w:style w:type="paragraph" w:styleId="Citadestacada">
    <w:name w:val="Intense Quote"/>
    <w:basedOn w:val="Normal"/>
    <w:next w:val="Normal"/>
    <w:link w:val="CitadestacadaCar"/>
    <w:uiPriority w:val="30"/>
    <w:qFormat/>
    <w:rsid w:val="0027749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77497"/>
    <w:rPr>
      <w:i/>
      <w:iCs/>
      <w:color w:val="2F5496" w:themeColor="accent1" w:themeShade="BF"/>
    </w:rPr>
  </w:style>
  <w:style w:type="character" w:styleId="Referenciaintensa">
    <w:name w:val="Intense Reference"/>
    <w:basedOn w:val="Fuentedeprrafopredeter"/>
    <w:uiPriority w:val="32"/>
    <w:qFormat/>
    <w:rsid w:val="00277497"/>
    <w:rPr>
      <w:b/>
      <w:bCs/>
      <w:smallCaps/>
      <w:color w:val="2F5496" w:themeColor="accent1" w:themeShade="BF"/>
      <w:spacing w:val="5"/>
    </w:rPr>
  </w:style>
  <w:style w:type="paragraph" w:styleId="NormalWeb">
    <w:name w:val="Normal (Web)"/>
    <w:basedOn w:val="Normal"/>
    <w:uiPriority w:val="99"/>
    <w:semiHidden/>
    <w:unhideWhenUsed/>
    <w:rsid w:val="00277497"/>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2774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1361</Words>
  <Characters>7032</Characters>
  <Application>Microsoft Office Word</Application>
  <DocSecurity>0</DocSecurity>
  <Lines>183</Lines>
  <Paragraphs>41</Paragraphs>
  <ScaleCrop>false</ScaleCrop>
  <Company/>
  <LinksUpToDate>false</LinksUpToDate>
  <CharactersWithSpaces>8373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Alejandro Delgado</cp:lastModifiedBy>
  <cp:revision>3</cp:revision>
  <dcterms:created xsi:type="dcterms:W3CDTF">2025-09-29T14:25:00Z</dcterms:created>
  <dcterms:modified xsi:type="dcterms:W3CDTF">2025-10-08T16:02:00Z</dcterms:modified>
</cp:coreProperties>
</file>