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BFDB2"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CONCEPTO DIAN 1107 DEL 22 DE JULIO DE 2025</w:t>
      </w:r>
    </w:p>
    <w:p w14:paraId="37C06217"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DIRECCIÓN DE IMPUESTOS Y ADUANAS NACIONALES</w:t>
      </w:r>
    </w:p>
    <w:p w14:paraId="6A7FF0AF"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49414BBB"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Bogotá D.C.,</w:t>
      </w:r>
    </w:p>
    <w:p w14:paraId="69031CD3"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3775A6F7"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Tema:</w:t>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color w:val="000000"/>
          <w:kern w:val="0"/>
          <w:lang w:val="es-CO" w:eastAsia="es-MX"/>
          <w14:ligatures w14:val="none"/>
        </w:rPr>
        <w:t>Impuesto sobre la renta y complementarios</w:t>
      </w:r>
    </w:p>
    <w:p w14:paraId="3793232E" w14:textId="77777777" w:rsidR="00284619" w:rsidRPr="00284619" w:rsidRDefault="00284619" w:rsidP="00284619">
      <w:pPr>
        <w:ind w:left="2160" w:firstLine="72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Régimen Simple de Tributación</w:t>
      </w:r>
    </w:p>
    <w:p w14:paraId="22B96033"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Descriptores:</w:t>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color w:val="000000"/>
          <w:kern w:val="0"/>
          <w:lang w:val="es-CO" w:eastAsia="es-MX"/>
          <w14:ligatures w14:val="none"/>
        </w:rPr>
        <w:t>Retención en la fuente, ReteICA</w:t>
      </w:r>
    </w:p>
    <w:p w14:paraId="3CAC38C1"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Fuentes formales:</w:t>
      </w:r>
      <w:r w:rsidRPr="00284619">
        <w:rPr>
          <w:rFonts w:ascii="Verdana" w:eastAsia="Times New Roman" w:hAnsi="Verdana" w:cs="Times New Roman"/>
          <w:b/>
          <w:bCs/>
          <w:color w:val="000000"/>
          <w:kern w:val="0"/>
          <w:lang w:val="es-CO" w:eastAsia="es-MX"/>
          <w14:ligatures w14:val="none"/>
        </w:rPr>
        <w:tab/>
      </w:r>
      <w:r w:rsidRPr="00284619">
        <w:rPr>
          <w:rFonts w:ascii="Verdana" w:eastAsia="Times New Roman" w:hAnsi="Verdana" w:cs="Times New Roman"/>
          <w:color w:val="000000"/>
          <w:kern w:val="0"/>
          <w:lang w:val="es-CO" w:eastAsia="es-MX"/>
          <w14:ligatures w14:val="none"/>
        </w:rPr>
        <w:t>Artículos 904, 911, Estatuto Tributario</w:t>
      </w:r>
    </w:p>
    <w:p w14:paraId="360A0EBE" w14:textId="77777777" w:rsidR="00284619" w:rsidRPr="00284619" w:rsidRDefault="00284619" w:rsidP="00284619">
      <w:pPr>
        <w:ind w:left="2160" w:firstLine="72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Artículo 1.5.8.3.1. del Decreto 1625 de 2016</w:t>
      </w:r>
    </w:p>
    <w:p w14:paraId="3AE46591"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67193DA5"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Cordial saludo,</w:t>
      </w:r>
    </w:p>
    <w:p w14:paraId="4E5ED834"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279926FF" w14:textId="77777777" w:rsidR="00284619" w:rsidRPr="00284619" w:rsidRDefault="00284619" w:rsidP="00284619">
      <w:pPr>
        <w:numPr>
          <w:ilvl w:val="0"/>
          <w:numId w:val="1"/>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979D1E3"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1175D5B9"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PROBLEMA JURÍDICO</w:t>
      </w:r>
    </w:p>
    <w:p w14:paraId="7094CF07"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17D741EC" w14:textId="77777777" w:rsidR="00284619" w:rsidRPr="00284619" w:rsidRDefault="00284619" w:rsidP="00284619">
      <w:pPr>
        <w:numPr>
          <w:ilvl w:val="0"/>
          <w:numId w:val="2"/>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¿Cuál es el tratamiento tributario que debe aplicar una empresa de transporte de carga terrestre a las retenciones en la fuente cuando las operaciones de transporte las realizan con transportadores independientes que hacen parte del régimen simple de tributación - RST?</w:t>
      </w:r>
    </w:p>
    <w:p w14:paraId="3808B04F"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40609BAB"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TESIS JURÍDICA</w:t>
      </w:r>
    </w:p>
    <w:p w14:paraId="5540C836"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314D9855" w14:textId="77777777" w:rsidR="00284619" w:rsidRPr="00284619" w:rsidRDefault="00284619" w:rsidP="00284619">
      <w:pPr>
        <w:numPr>
          <w:ilvl w:val="0"/>
          <w:numId w:val="3"/>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El tratamiento tributario que debe aplicar una empresa de transporte de carga terrestre cuando las operaciones de transporte las realizan con transportadores independientes que hacen parte del régimen simple de tributación- RST, es el dispuesto en los artículos 102-2 del Estatuto Tributario y 1.2.4.4.8. del Decreto 1625 de 2016.</w:t>
      </w:r>
    </w:p>
    <w:p w14:paraId="08D9D11F"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27383661"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FUNDAMENTACIÓN</w:t>
      </w:r>
    </w:p>
    <w:p w14:paraId="328AEFD8"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17200BAF" w14:textId="77777777" w:rsidR="00284619" w:rsidRPr="00284619" w:rsidRDefault="00284619" w:rsidP="00284619">
      <w:pPr>
        <w:numPr>
          <w:ilvl w:val="0"/>
          <w:numId w:val="4"/>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Para los ingresos que provengan del transporte terrestre automotor el artículo 102-2 del Estatuto Tributario establece la siguiente regla de distribución:</w:t>
      </w:r>
    </w:p>
    <w:p w14:paraId="436D06B9"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48A7D25B" w14:textId="77777777" w:rsidR="00284619" w:rsidRPr="00284619" w:rsidRDefault="00284619" w:rsidP="00284619">
      <w:pPr>
        <w:ind w:left="36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 xml:space="preserve">Articulo 102-2. Distribución de los ingresos en el transporte terrestre automotor. Cuando el transporte terrestre automotor se preste a través de vehículos de propiedad de terceros, diferentes de los de propiedad de la empresa transportadora, para propósitos de los impuestos nacionales y territoriales, </w:t>
      </w:r>
      <w:r w:rsidRPr="00284619">
        <w:rPr>
          <w:rFonts w:ascii="Verdana" w:eastAsia="Times New Roman" w:hAnsi="Verdana" w:cs="Times New Roman"/>
          <w:i/>
          <w:iCs/>
          <w:color w:val="000000"/>
          <w:kern w:val="0"/>
          <w:sz w:val="22"/>
          <w:szCs w:val="22"/>
          <w:u w:val="single"/>
          <w:lang w:val="es-CO" w:eastAsia="es-MX"/>
          <w14:ligatures w14:val="none"/>
        </w:rPr>
        <w:t>las empresas deberán registrar el ingreso así: Para el propietario del vehículo la parte que le corresponda en la negociación; para la empresa transportadora el valor que le corresponda una vez descontado el ingreso del propietario del vehículo</w:t>
      </w:r>
      <w:r w:rsidRPr="00284619">
        <w:rPr>
          <w:rFonts w:ascii="Verdana" w:eastAsia="Times New Roman" w:hAnsi="Verdana" w:cs="Times New Roman"/>
          <w:i/>
          <w:iCs/>
          <w:color w:val="000000"/>
          <w:kern w:val="0"/>
          <w:sz w:val="22"/>
          <w:szCs w:val="22"/>
          <w:lang w:val="es-CO" w:eastAsia="es-MX"/>
          <w14:ligatures w14:val="none"/>
        </w:rPr>
        <w:t>.</w:t>
      </w:r>
      <w:r w:rsidRPr="00284619">
        <w:rPr>
          <w:rFonts w:ascii="Verdana" w:eastAsia="Times New Roman" w:hAnsi="Verdana" w:cs="Times New Roman"/>
          <w:i/>
          <w:iCs/>
          <w:color w:val="000000"/>
          <w:kern w:val="0"/>
          <w:lang w:val="es-CO" w:eastAsia="es-MX"/>
          <w14:ligatures w14:val="none"/>
        </w:rPr>
        <w:t xml:space="preserve"> </w:t>
      </w:r>
      <w:r w:rsidRPr="00284619">
        <w:rPr>
          <w:rFonts w:ascii="Verdana" w:eastAsia="Times New Roman" w:hAnsi="Verdana" w:cs="Times New Roman"/>
          <w:color w:val="000000"/>
          <w:kern w:val="0"/>
          <w:lang w:val="es-CO" w:eastAsia="es-MX"/>
          <w14:ligatures w14:val="none"/>
        </w:rPr>
        <w:t>(Énfasis propio)</w:t>
      </w:r>
    </w:p>
    <w:p w14:paraId="693DBD28"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008E880B" w14:textId="77777777" w:rsidR="00284619" w:rsidRPr="00284619" w:rsidRDefault="00284619" w:rsidP="00284619">
      <w:pPr>
        <w:numPr>
          <w:ilvl w:val="0"/>
          <w:numId w:val="5"/>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La interpretación oficial concluyó que esta regla de distribución del ingreso es aplicable para efectos del Régimen Simple de Tributación – SIMPLE</w:t>
      </w:r>
    </w:p>
    <w:p w14:paraId="7705BFAC"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329713BC" w14:textId="77777777" w:rsidR="00284619" w:rsidRPr="00284619" w:rsidRDefault="00284619" w:rsidP="00284619">
      <w:pPr>
        <w:numPr>
          <w:ilvl w:val="0"/>
          <w:numId w:val="6"/>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Respecto del tratamiento relacionado con la retención en la fuente los artículos 1.2.4.4.8. y 1.2.6.7. del Decreto 1625 de 2016 precisan:</w:t>
      </w:r>
    </w:p>
    <w:p w14:paraId="68DCE80A"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7DBEB22D"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Artículo 1.2.4.4.8. Retención en la fuente por concepto del servicio de transporte de carga terrestre. En el caso del transporte de carga terrestre, la retención en la fuente se aplicará sobre el valor bruto de los pagos o abonos en cuenta que hagan las personas jurídicas o sociedades de hecho, a la tarifa del uno por ciento (1%).</w:t>
      </w:r>
    </w:p>
    <w:p w14:paraId="17C673CB"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3354E792"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Cuando se trate de empresas de transporte de carga terrestre y el servicio se preste a través de vehículos de propiedad de los afiliados a la empresa, dicha retención se distribuirá así por la empresa transportadora: El porcentaje que represente los pagos o abonos en cuenta que se hagan al tercero propietario del vehículo dentro del pago o abono recibido por la empresa transportadora se multiplicará por el monto de la retención total, y este resultado será la retención a favor del propietario del vehículo, valor que deberá ser certificado por la empresa transportadora.</w:t>
      </w:r>
    </w:p>
    <w:p w14:paraId="5B44A80D"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73EFD6A8"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El remanente constituirá la retención a favor de la empresa      transportadora y sustituirá el valor de los certificados de retención que se expidan a favor de la misma.</w:t>
      </w:r>
    </w:p>
    <w:p w14:paraId="530AE65D"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643456DF"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Artículo 1.2.6.7. Bases para calcular la autorretención a título de impuesto sobre la renta y complementario de que trata el artículo 1.2.6.6. Las bases establecidas en las normas vigentes para calcular la retención del impuesto sobre la renta y complementario serán aplicables igualmente para practicar la autorretención a título de este impuesto de que trata el artículo anterior.</w:t>
      </w:r>
    </w:p>
    <w:p w14:paraId="46F5A817"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593E5697"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lastRenderedPageBreak/>
        <w:t>No obstante lo anterior, en los siguientes casos, la base de esta autorretención se efectuará de conformidad con las siguientes reglas:</w:t>
      </w:r>
    </w:p>
    <w:p w14:paraId="478CCFB3"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w:t>
      </w:r>
    </w:p>
    <w:p w14:paraId="0008CEA3" w14:textId="77777777" w:rsidR="00284619" w:rsidRPr="00284619" w:rsidRDefault="00284619" w:rsidP="00284619">
      <w:pPr>
        <w:ind w:left="1440"/>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i/>
          <w:iCs/>
          <w:color w:val="000000"/>
          <w:kern w:val="0"/>
          <w:sz w:val="22"/>
          <w:szCs w:val="22"/>
          <w:lang w:val="es-CO" w:eastAsia="es-MX"/>
          <w14:ligatures w14:val="none"/>
        </w:rPr>
        <w:t>2. En el caso del transporte terrestre automotor que se preste a través de vehículos de propiedad de terceros, esta autorretención a título de impuesto sobre la renta y complementario se aplicará únicamente sobre la proporción del pago o abono en cuenta que corresponda al ingreso de la empresa transportadora calculado de acuerdo con el artículo 102-2 del Estatuto Tributario.</w:t>
      </w:r>
    </w:p>
    <w:p w14:paraId="6CEBF710"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33721554" w14:textId="77777777" w:rsidR="00284619" w:rsidRPr="00284619" w:rsidRDefault="00284619" w:rsidP="00284619">
      <w:pPr>
        <w:numPr>
          <w:ilvl w:val="0"/>
          <w:numId w:val="7"/>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De las normas citadas se destaca los siguientes elementos de análisis</w:t>
      </w:r>
    </w:p>
    <w:p w14:paraId="3AA90A03"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01F1EE69" w14:textId="77777777" w:rsidR="00284619" w:rsidRPr="00284619" w:rsidRDefault="00284619" w:rsidP="00284619">
      <w:pPr>
        <w:numPr>
          <w:ilvl w:val="0"/>
          <w:numId w:val="8"/>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La retención en la fuente se aplica sobre el valor bruto de los pagos o abonos en cuenta que se hagan a la tarifa del uno por ciento (1%), sin distinción.</w:t>
      </w:r>
    </w:p>
    <w:p w14:paraId="3953D30A" w14:textId="77777777" w:rsidR="00284619" w:rsidRPr="00284619" w:rsidRDefault="00284619" w:rsidP="00284619">
      <w:pPr>
        <w:numPr>
          <w:ilvl w:val="0"/>
          <w:numId w:val="8"/>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La retención se distribuye entre la empresa de transporte de carga terrestre y el propietario del vehículo afiliado a la empresa.</w:t>
      </w:r>
    </w:p>
    <w:p w14:paraId="5FD3F682" w14:textId="77777777" w:rsidR="00284619" w:rsidRPr="00284619" w:rsidRDefault="00284619" w:rsidP="00284619">
      <w:pPr>
        <w:numPr>
          <w:ilvl w:val="0"/>
          <w:numId w:val="8"/>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La distribución de las retenciones parte de la retención sobre el valor bruto.</w:t>
      </w:r>
    </w:p>
    <w:p w14:paraId="61A4BBD5"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07C6B5B8" w14:textId="77777777" w:rsidR="00284619" w:rsidRPr="00284619" w:rsidRDefault="00284619" w:rsidP="00284619">
      <w:pPr>
        <w:numPr>
          <w:ilvl w:val="0"/>
          <w:numId w:val="9"/>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Ahora bien, el artículo 911 del Estatuto Tributario sobre las retenciones en la fuente y las  autorretenciones  en  la  fuente  en  el  Impuesto  Unificado  bajo  el Régimen Simple de Tributación – SIMPLE, establece que los contribuyentes que opten por este no estarán sujetos a retención en la fuente y tampoco estarán obligados a practicar retenciones y autorretenciones en la fuente con excepción de las correspondientes a pagos laborales. El artículo 1.5.8.3.1. del Decreto 1625 de 2016 regula lo correspondiente a este tratamiento.</w:t>
      </w:r>
    </w:p>
    <w:p w14:paraId="6D36176D"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4F2DAAA8" w14:textId="77777777" w:rsidR="00284619" w:rsidRPr="00284619" w:rsidRDefault="00284619" w:rsidP="00284619">
      <w:pPr>
        <w:numPr>
          <w:ilvl w:val="0"/>
          <w:numId w:val="10"/>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En este caso se considera que lo dispuesto en el artículo 102-2 del Estatuto Tributario prevalece, lo que incluye el tratamiento en retención en la fuente que desarrolla la reglamentación. Esto hace necesario determinar para los contribuyentes que opten por el Impuesto Unificado bajo el Régimen Simple de Tributación – SIMPLE, un mecanismo a través del que reconozca esta retención y la pueda detraer, tanto al momento de liquidar el anticipo bimestral (formulario 2593) como el impuesto (formulario 260).</w:t>
      </w:r>
    </w:p>
    <w:p w14:paraId="25F8C4D3"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lastRenderedPageBreak/>
        <w:br/>
      </w:r>
    </w:p>
    <w:p w14:paraId="53A3ABAB" w14:textId="77777777" w:rsidR="00284619" w:rsidRPr="00284619" w:rsidRDefault="00284619" w:rsidP="00284619">
      <w:pPr>
        <w:numPr>
          <w:ilvl w:val="0"/>
          <w:numId w:val="11"/>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 xml:space="preserve">Para efectos de lo anterior, el contribuyente del régimen SIMPLE deberá reportar en el Formulario número 260 “Declaración anual consolidada” el valor de la retención que le corresponda, determinada según lo dispuesto en el artículo 1.2.4.4.8. del Decreto 1625 de 2016, en la casilla 54 del formulario </w:t>
      </w:r>
      <w:r w:rsidRPr="00284619">
        <w:rPr>
          <w:rFonts w:ascii="Verdana" w:eastAsia="Times New Roman" w:hAnsi="Verdana" w:cs="Times New Roman"/>
          <w:i/>
          <w:iCs/>
          <w:color w:val="000000"/>
          <w:kern w:val="0"/>
          <w:lang w:val="es-CO" w:eastAsia="es-MX"/>
          <w14:ligatures w14:val="none"/>
        </w:rPr>
        <w:t xml:space="preserve">“Retenciones y autorretenciones a título del impuesto de renta practicadas antes de pertenecer al Régimen SIMPLE” </w:t>
      </w:r>
      <w:r w:rsidRPr="00284619">
        <w:rPr>
          <w:rFonts w:ascii="Verdana" w:eastAsia="Times New Roman" w:hAnsi="Verdana" w:cs="Times New Roman"/>
          <w:color w:val="000000"/>
          <w:kern w:val="0"/>
          <w:lang w:val="es-CO" w:eastAsia="es-MX"/>
          <w14:ligatures w14:val="none"/>
        </w:rPr>
        <w:t>. Esta información también deberá ser incluida en el formulario F2593 – Recibo electrónico del SIMPLE, cuando corresponda, para lo cual deberá tener en cuenta la casilla 50 (con el mismo título) esto por la manera en que interactúan dichos formularios en su diligenciamiento.</w:t>
      </w:r>
    </w:p>
    <w:p w14:paraId="48FD90DE" w14:textId="77777777" w:rsidR="00284619" w:rsidRPr="00284619" w:rsidRDefault="00284619" w:rsidP="00284619">
      <w:pPr>
        <w:rPr>
          <w:rFonts w:ascii="Times New Roman" w:eastAsia="Times New Roman" w:hAnsi="Times New Roman" w:cs="Times New Roman"/>
          <w:kern w:val="0"/>
          <w:lang w:val="es-CO" w:eastAsia="es-MX"/>
          <w14:ligatures w14:val="none"/>
        </w:rPr>
      </w:pPr>
      <w:r w:rsidRPr="00284619">
        <w:rPr>
          <w:rFonts w:ascii="Times New Roman" w:eastAsia="Times New Roman" w:hAnsi="Times New Roman" w:cs="Times New Roman"/>
          <w:kern w:val="0"/>
          <w:lang w:val="es-CO" w:eastAsia="es-MX"/>
          <w14:ligatures w14:val="none"/>
        </w:rPr>
        <w:br/>
      </w:r>
    </w:p>
    <w:p w14:paraId="42AB7502" w14:textId="77777777" w:rsidR="00284619" w:rsidRPr="00284619" w:rsidRDefault="00284619" w:rsidP="00284619">
      <w:pPr>
        <w:numPr>
          <w:ilvl w:val="0"/>
          <w:numId w:val="12"/>
        </w:numPr>
        <w:jc w:val="both"/>
        <w:textAlignment w:val="baseline"/>
        <w:rPr>
          <w:rFonts w:ascii="Verdana" w:eastAsia="Times New Roman" w:hAnsi="Verdana" w:cs="Times New Roman"/>
          <w:color w:val="000000"/>
          <w:kern w:val="0"/>
          <w:lang w:val="es-CO" w:eastAsia="es-MX"/>
          <w14:ligatures w14:val="none"/>
        </w:rPr>
      </w:pPr>
      <w:r w:rsidRPr="00284619">
        <w:rPr>
          <w:rFonts w:ascii="Verdana" w:eastAsia="Times New Roman" w:hAnsi="Verdana" w:cs="Times New Roman"/>
          <w:color w:val="000000"/>
          <w:kern w:val="0"/>
          <w:lang w:val="es-CO" w:eastAsia="es-MX"/>
          <w14:ligatures w14:val="none"/>
        </w:rPr>
        <w:t>Esto implica que se debe ajustar en título y la descripción de las casillas con el fin de reconocer esta situación y poder hacer efectivo este mecanismo, por lo que se envía copia de este concepto a las Subdirecciones de Recaudo e Impulso de la Formalización Tributaria, para lo de su competencia.</w:t>
      </w:r>
    </w:p>
    <w:p w14:paraId="46B497D5"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19319282"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 xml:space="preserve">En los anteriores términos se resuelve su petición y se recuerda que la normativa, jurisprudencia y doctrina en materia tributaria, aduanera y de fiscalización cambiaria, en lo de competencia de esta Entidad, puede consultarse en el normograma DIAN: </w:t>
      </w:r>
      <w:r w:rsidRPr="00284619">
        <w:rPr>
          <w:rFonts w:ascii="Verdana" w:eastAsia="Times New Roman" w:hAnsi="Verdana" w:cs="Times New Roman"/>
          <w:color w:val="000000"/>
          <w:kern w:val="0"/>
          <w:u w:val="single"/>
          <w:lang w:val="es-CO" w:eastAsia="es-MX"/>
          <w14:ligatures w14:val="none"/>
        </w:rPr>
        <w:t>https://normograma.dian.gov.co/dian/</w:t>
      </w:r>
      <w:r w:rsidRPr="00284619">
        <w:rPr>
          <w:rFonts w:ascii="Verdana" w:eastAsia="Times New Roman" w:hAnsi="Verdana" w:cs="Times New Roman"/>
          <w:color w:val="000000"/>
          <w:kern w:val="0"/>
          <w:lang w:val="es-CO" w:eastAsia="es-MX"/>
          <w14:ligatures w14:val="none"/>
        </w:rPr>
        <w:t>.</w:t>
      </w:r>
    </w:p>
    <w:p w14:paraId="1DCE4DAF"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0E86FEDB"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Atentamente,</w:t>
      </w:r>
    </w:p>
    <w:p w14:paraId="6BEBC796" w14:textId="77777777" w:rsidR="00284619" w:rsidRPr="00284619" w:rsidRDefault="00284619" w:rsidP="00284619">
      <w:pPr>
        <w:spacing w:after="240"/>
        <w:rPr>
          <w:rFonts w:ascii="Times New Roman" w:eastAsia="Times New Roman" w:hAnsi="Times New Roman" w:cs="Times New Roman"/>
          <w:kern w:val="0"/>
          <w:lang w:val="es-CO" w:eastAsia="es-MX"/>
          <w14:ligatures w14:val="none"/>
        </w:rPr>
      </w:pPr>
    </w:p>
    <w:p w14:paraId="4F54AFE4"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b/>
          <w:bCs/>
          <w:color w:val="000000"/>
          <w:kern w:val="0"/>
          <w:lang w:val="es-CO" w:eastAsia="es-MX"/>
          <w14:ligatures w14:val="none"/>
        </w:rPr>
        <w:t>INGRID CASTAÑEDA CEPEDA</w:t>
      </w:r>
    </w:p>
    <w:p w14:paraId="7EEC94F7"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Subdirectora de Normativa y Doctrina (A)</w:t>
      </w:r>
    </w:p>
    <w:p w14:paraId="551BD173"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Dirección de Gestión Jurídica</w:t>
      </w:r>
    </w:p>
    <w:p w14:paraId="273EFD13"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Carrera 8 No 6 C -38 Piso 4 Edificio San Agustín</w:t>
      </w:r>
    </w:p>
    <w:p w14:paraId="367F82A4"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r w:rsidRPr="00284619">
        <w:rPr>
          <w:rFonts w:ascii="Verdana" w:eastAsia="Times New Roman" w:hAnsi="Verdana" w:cs="Times New Roman"/>
          <w:color w:val="000000"/>
          <w:kern w:val="0"/>
          <w:lang w:val="es-CO" w:eastAsia="es-MX"/>
          <w14:ligatures w14:val="none"/>
        </w:rPr>
        <w:t>Bogotá, D.C.</w:t>
      </w:r>
    </w:p>
    <w:p w14:paraId="54C3A505" w14:textId="77777777" w:rsidR="00284619" w:rsidRPr="00284619" w:rsidRDefault="00284619" w:rsidP="00284619">
      <w:pPr>
        <w:jc w:val="both"/>
        <w:rPr>
          <w:rFonts w:ascii="Times New Roman" w:eastAsia="Times New Roman" w:hAnsi="Times New Roman" w:cs="Times New Roman"/>
          <w:kern w:val="0"/>
          <w:lang w:val="es-CO" w:eastAsia="es-MX"/>
          <w14:ligatures w14:val="none"/>
        </w:rPr>
      </w:pPr>
      <w:hyperlink r:id="rId5" w:history="1">
        <w:r w:rsidRPr="00284619">
          <w:rPr>
            <w:rFonts w:ascii="Verdana" w:eastAsia="Times New Roman" w:hAnsi="Verdana" w:cs="Times New Roman"/>
            <w:color w:val="000000"/>
            <w:kern w:val="0"/>
            <w:u w:val="single"/>
            <w:lang w:val="es-CO" w:eastAsia="es-MX"/>
            <w14:ligatures w14:val="none"/>
          </w:rPr>
          <w:t>www.dian.gov.co</w:t>
        </w:r>
      </w:hyperlink>
    </w:p>
    <w:p w14:paraId="709E89AE" w14:textId="77777777" w:rsidR="00284619" w:rsidRPr="00284619" w:rsidRDefault="00284619" w:rsidP="00284619">
      <w:pPr>
        <w:rPr>
          <w:rFonts w:ascii="Times New Roman" w:eastAsia="Times New Roman" w:hAnsi="Times New Roman" w:cs="Times New Roman"/>
          <w:kern w:val="0"/>
          <w:lang w:val="es-CO" w:eastAsia="es-MX"/>
          <w14:ligatures w14:val="none"/>
        </w:rPr>
      </w:pPr>
    </w:p>
    <w:p w14:paraId="6525D95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C03AC"/>
    <w:multiLevelType w:val="multilevel"/>
    <w:tmpl w:val="365E40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901090"/>
    <w:multiLevelType w:val="multilevel"/>
    <w:tmpl w:val="3468F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1002F1"/>
    <w:multiLevelType w:val="multilevel"/>
    <w:tmpl w:val="2D9C19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B47EB3"/>
    <w:multiLevelType w:val="multilevel"/>
    <w:tmpl w:val="FD44B1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290AD7"/>
    <w:multiLevelType w:val="multilevel"/>
    <w:tmpl w:val="26F26F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AC21C1"/>
    <w:multiLevelType w:val="multilevel"/>
    <w:tmpl w:val="2CE8060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D2519E"/>
    <w:multiLevelType w:val="multilevel"/>
    <w:tmpl w:val="B20E582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985905"/>
    <w:multiLevelType w:val="multilevel"/>
    <w:tmpl w:val="C7023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A49762C"/>
    <w:multiLevelType w:val="multilevel"/>
    <w:tmpl w:val="6C1286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ACA2F00"/>
    <w:multiLevelType w:val="multilevel"/>
    <w:tmpl w:val="8372311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F165B7"/>
    <w:multiLevelType w:val="multilevel"/>
    <w:tmpl w:val="B5AC1D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29423A"/>
    <w:multiLevelType w:val="multilevel"/>
    <w:tmpl w:val="DDF498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4706449">
    <w:abstractNumId w:val="7"/>
  </w:num>
  <w:num w:numId="2" w16cid:durableId="1076363997">
    <w:abstractNumId w:val="10"/>
    <w:lvlOverride w:ilvl="0">
      <w:lvl w:ilvl="0">
        <w:numFmt w:val="decimal"/>
        <w:lvlText w:val="%1."/>
        <w:lvlJc w:val="left"/>
      </w:lvl>
    </w:lvlOverride>
  </w:num>
  <w:num w:numId="3" w16cid:durableId="1453087657">
    <w:abstractNumId w:val="4"/>
    <w:lvlOverride w:ilvl="0">
      <w:lvl w:ilvl="0">
        <w:numFmt w:val="decimal"/>
        <w:lvlText w:val="%1."/>
        <w:lvlJc w:val="left"/>
      </w:lvl>
    </w:lvlOverride>
  </w:num>
  <w:num w:numId="4" w16cid:durableId="1924803766">
    <w:abstractNumId w:val="3"/>
    <w:lvlOverride w:ilvl="0">
      <w:lvl w:ilvl="0">
        <w:numFmt w:val="decimal"/>
        <w:lvlText w:val="%1."/>
        <w:lvlJc w:val="left"/>
      </w:lvl>
    </w:lvlOverride>
  </w:num>
  <w:num w:numId="5" w16cid:durableId="1986467840">
    <w:abstractNumId w:val="2"/>
    <w:lvlOverride w:ilvl="0">
      <w:lvl w:ilvl="0">
        <w:numFmt w:val="decimal"/>
        <w:lvlText w:val="%1."/>
        <w:lvlJc w:val="left"/>
      </w:lvl>
    </w:lvlOverride>
  </w:num>
  <w:num w:numId="6" w16cid:durableId="2096824481">
    <w:abstractNumId w:val="6"/>
    <w:lvlOverride w:ilvl="0">
      <w:lvl w:ilvl="0">
        <w:numFmt w:val="decimal"/>
        <w:lvlText w:val="%1."/>
        <w:lvlJc w:val="left"/>
      </w:lvl>
    </w:lvlOverride>
  </w:num>
  <w:num w:numId="7" w16cid:durableId="2115635146">
    <w:abstractNumId w:val="11"/>
    <w:lvlOverride w:ilvl="0">
      <w:lvl w:ilvl="0">
        <w:numFmt w:val="decimal"/>
        <w:lvlText w:val="%1."/>
        <w:lvlJc w:val="left"/>
      </w:lvl>
    </w:lvlOverride>
  </w:num>
  <w:num w:numId="8" w16cid:durableId="1391347702">
    <w:abstractNumId w:val="1"/>
  </w:num>
  <w:num w:numId="9" w16cid:durableId="775056402">
    <w:abstractNumId w:val="8"/>
    <w:lvlOverride w:ilvl="0">
      <w:lvl w:ilvl="0">
        <w:numFmt w:val="decimal"/>
        <w:lvlText w:val="%1."/>
        <w:lvlJc w:val="left"/>
      </w:lvl>
    </w:lvlOverride>
  </w:num>
  <w:num w:numId="10" w16cid:durableId="1213735970">
    <w:abstractNumId w:val="9"/>
    <w:lvlOverride w:ilvl="0">
      <w:lvl w:ilvl="0">
        <w:numFmt w:val="decimal"/>
        <w:lvlText w:val="%1."/>
        <w:lvlJc w:val="left"/>
      </w:lvl>
    </w:lvlOverride>
  </w:num>
  <w:num w:numId="11" w16cid:durableId="1686054426">
    <w:abstractNumId w:val="0"/>
    <w:lvlOverride w:ilvl="0">
      <w:lvl w:ilvl="0">
        <w:numFmt w:val="decimal"/>
        <w:lvlText w:val="%1."/>
        <w:lvlJc w:val="left"/>
      </w:lvl>
    </w:lvlOverride>
  </w:num>
  <w:num w:numId="12" w16cid:durableId="211305739">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619"/>
    <w:rsid w:val="000B2285"/>
    <w:rsid w:val="00284619"/>
    <w:rsid w:val="00284D72"/>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D92C8DB"/>
  <w14:defaultImageDpi w14:val="32767"/>
  <w15:chartTrackingRefBased/>
  <w15:docId w15:val="{F648FE76-CE5B-EC4D-9C15-C9372410C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846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846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8461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8461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8461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8461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8461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8461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8461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461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8461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8461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8461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8461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846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846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846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84619"/>
    <w:rPr>
      <w:rFonts w:eastAsiaTheme="majorEastAsia" w:cstheme="majorBidi"/>
      <w:color w:val="272727" w:themeColor="text1" w:themeTint="D8"/>
    </w:rPr>
  </w:style>
  <w:style w:type="paragraph" w:styleId="Ttulo">
    <w:name w:val="Title"/>
    <w:basedOn w:val="Normal"/>
    <w:next w:val="Normal"/>
    <w:link w:val="TtuloCar"/>
    <w:uiPriority w:val="10"/>
    <w:qFormat/>
    <w:rsid w:val="0028461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846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8461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846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8461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84619"/>
    <w:rPr>
      <w:i/>
      <w:iCs/>
      <w:color w:val="404040" w:themeColor="text1" w:themeTint="BF"/>
    </w:rPr>
  </w:style>
  <w:style w:type="paragraph" w:styleId="Prrafodelista">
    <w:name w:val="List Paragraph"/>
    <w:basedOn w:val="Normal"/>
    <w:uiPriority w:val="34"/>
    <w:qFormat/>
    <w:rsid w:val="00284619"/>
    <w:pPr>
      <w:ind w:left="720"/>
      <w:contextualSpacing/>
    </w:pPr>
  </w:style>
  <w:style w:type="character" w:styleId="nfasisintenso">
    <w:name w:val="Intense Emphasis"/>
    <w:basedOn w:val="Fuentedeprrafopredeter"/>
    <w:uiPriority w:val="21"/>
    <w:qFormat/>
    <w:rsid w:val="00284619"/>
    <w:rPr>
      <w:i/>
      <w:iCs/>
      <w:color w:val="2F5496" w:themeColor="accent1" w:themeShade="BF"/>
    </w:rPr>
  </w:style>
  <w:style w:type="paragraph" w:styleId="Citadestacada">
    <w:name w:val="Intense Quote"/>
    <w:basedOn w:val="Normal"/>
    <w:next w:val="Normal"/>
    <w:link w:val="CitadestacadaCar"/>
    <w:uiPriority w:val="30"/>
    <w:qFormat/>
    <w:rsid w:val="002846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84619"/>
    <w:rPr>
      <w:i/>
      <w:iCs/>
      <w:color w:val="2F5496" w:themeColor="accent1" w:themeShade="BF"/>
    </w:rPr>
  </w:style>
  <w:style w:type="character" w:styleId="Referenciaintensa">
    <w:name w:val="Intense Reference"/>
    <w:basedOn w:val="Fuentedeprrafopredeter"/>
    <w:uiPriority w:val="32"/>
    <w:qFormat/>
    <w:rsid w:val="00284619"/>
    <w:rPr>
      <w:b/>
      <w:bCs/>
      <w:smallCaps/>
      <w:color w:val="2F5496" w:themeColor="accent1" w:themeShade="BF"/>
      <w:spacing w:val="5"/>
    </w:rPr>
  </w:style>
  <w:style w:type="paragraph" w:styleId="NormalWeb">
    <w:name w:val="Normal (Web)"/>
    <w:basedOn w:val="Normal"/>
    <w:uiPriority w:val="99"/>
    <w:semiHidden/>
    <w:unhideWhenUsed/>
    <w:rsid w:val="0028461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84619"/>
  </w:style>
  <w:style w:type="character" w:styleId="Hipervnculo">
    <w:name w:val="Hyperlink"/>
    <w:basedOn w:val="Fuentedeprrafopredeter"/>
    <w:uiPriority w:val="99"/>
    <w:semiHidden/>
    <w:unhideWhenUsed/>
    <w:rsid w:val="002846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dian.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1141</Words>
  <Characters>6276</Characters>
  <Application>Microsoft Office Word</Application>
  <DocSecurity>0</DocSecurity>
  <Lines>52</Lines>
  <Paragraphs>14</Paragraphs>
  <ScaleCrop>false</ScaleCrop>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2025-10-03T21:38:00Z</dcterms:created>
  <dcterms:modified xsi:type="dcterms:W3CDTF">2025-10-03T21:40:00Z</dcterms:modified>
</cp:coreProperties>
</file>