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C16708"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CONCEPTO DIAN 1132 DEL 29 DE JULIO DE 2025</w:t>
      </w:r>
    </w:p>
    <w:p w14:paraId="7E9A4C36"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DIRECCIÓN DE IMPUESTOS Y ADUANAS NACIONALES</w:t>
      </w:r>
    </w:p>
    <w:p w14:paraId="006AA2B4"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15F07E7A"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Bogotá, D.C.,</w:t>
      </w:r>
    </w:p>
    <w:p w14:paraId="4630D2CE"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5A140EED"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Tema:</w:t>
      </w:r>
      <w:r w:rsidRPr="00DA6907">
        <w:rPr>
          <w:rFonts w:ascii="Verdana" w:eastAsia="Times New Roman" w:hAnsi="Verdana" w:cs="Times New Roman"/>
          <w:b/>
          <w:bCs/>
          <w:color w:val="000000"/>
          <w:kern w:val="0"/>
          <w:lang w:val="es-CO" w:eastAsia="es-MX"/>
          <w14:ligatures w14:val="none"/>
        </w:rPr>
        <w:tab/>
      </w:r>
      <w:r w:rsidRPr="00DA6907">
        <w:rPr>
          <w:rFonts w:ascii="Verdana" w:eastAsia="Times New Roman" w:hAnsi="Verdana" w:cs="Times New Roman"/>
          <w:b/>
          <w:bCs/>
          <w:color w:val="000000"/>
          <w:kern w:val="0"/>
          <w:lang w:val="es-CO" w:eastAsia="es-MX"/>
          <w14:ligatures w14:val="none"/>
        </w:rPr>
        <w:tab/>
      </w:r>
      <w:r w:rsidRPr="00DA6907">
        <w:rPr>
          <w:rFonts w:ascii="Verdana" w:eastAsia="Times New Roman" w:hAnsi="Verdana" w:cs="Times New Roman"/>
          <w:b/>
          <w:bCs/>
          <w:color w:val="000000"/>
          <w:kern w:val="0"/>
          <w:lang w:val="es-CO" w:eastAsia="es-MX"/>
          <w14:ligatures w14:val="none"/>
        </w:rPr>
        <w:tab/>
      </w:r>
      <w:r w:rsidRPr="00DA6907">
        <w:rPr>
          <w:rFonts w:ascii="Verdana" w:eastAsia="Times New Roman" w:hAnsi="Verdana" w:cs="Times New Roman"/>
          <w:color w:val="000000"/>
          <w:kern w:val="0"/>
          <w:lang w:val="es-CO" w:eastAsia="es-MX"/>
          <w14:ligatures w14:val="none"/>
        </w:rPr>
        <w:t>Procedimiento Tributario</w:t>
      </w:r>
    </w:p>
    <w:p w14:paraId="4E8D7369"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Descriptores:</w:t>
      </w:r>
      <w:r w:rsidRPr="00DA6907">
        <w:rPr>
          <w:rFonts w:ascii="Verdana" w:eastAsia="Times New Roman" w:hAnsi="Verdana" w:cs="Times New Roman"/>
          <w:b/>
          <w:bCs/>
          <w:color w:val="000000"/>
          <w:kern w:val="0"/>
          <w:lang w:val="es-CO" w:eastAsia="es-MX"/>
          <w14:ligatures w14:val="none"/>
        </w:rPr>
        <w:tab/>
      </w:r>
      <w:r w:rsidRPr="00DA6907">
        <w:rPr>
          <w:rFonts w:ascii="Verdana" w:eastAsia="Times New Roman" w:hAnsi="Verdana" w:cs="Times New Roman"/>
          <w:b/>
          <w:bCs/>
          <w:color w:val="000000"/>
          <w:kern w:val="0"/>
          <w:lang w:val="es-CO" w:eastAsia="es-MX"/>
          <w14:ligatures w14:val="none"/>
        </w:rPr>
        <w:tab/>
      </w:r>
      <w:r w:rsidRPr="00DA6907">
        <w:rPr>
          <w:rFonts w:ascii="Verdana" w:eastAsia="Times New Roman" w:hAnsi="Verdana" w:cs="Times New Roman"/>
          <w:color w:val="000000"/>
          <w:kern w:val="0"/>
          <w:lang w:val="es-CO" w:eastAsia="es-MX"/>
          <w14:ligatures w14:val="none"/>
        </w:rPr>
        <w:t>Suspensión intereses moratorios</w:t>
      </w:r>
    </w:p>
    <w:p w14:paraId="239170C4" w14:textId="77777777" w:rsidR="00DA6907" w:rsidRPr="00DA6907" w:rsidRDefault="00DA6907" w:rsidP="00DA6907">
      <w:pPr>
        <w:ind w:left="2160" w:firstLine="720"/>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Demanda Contencioso-administrativa</w:t>
      </w:r>
    </w:p>
    <w:p w14:paraId="1D9FDF14" w14:textId="77777777" w:rsidR="00DA6907" w:rsidRPr="00DA6907" w:rsidRDefault="00DA6907" w:rsidP="00DA6907">
      <w:pPr>
        <w:ind w:left="2160" w:firstLine="720"/>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Procedibilidad</w:t>
      </w:r>
    </w:p>
    <w:p w14:paraId="193DCDDF"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Fuentes formales:</w:t>
      </w:r>
      <w:r w:rsidRPr="00DA6907">
        <w:rPr>
          <w:rFonts w:ascii="Verdana" w:eastAsia="Times New Roman" w:hAnsi="Verdana" w:cs="Times New Roman"/>
          <w:b/>
          <w:bCs/>
          <w:color w:val="000000"/>
          <w:kern w:val="0"/>
          <w:lang w:val="es-CO" w:eastAsia="es-MX"/>
          <w14:ligatures w14:val="none"/>
        </w:rPr>
        <w:tab/>
      </w:r>
      <w:r w:rsidRPr="00DA6907">
        <w:rPr>
          <w:rFonts w:ascii="Verdana" w:eastAsia="Times New Roman" w:hAnsi="Verdana" w:cs="Times New Roman"/>
          <w:color w:val="000000"/>
          <w:kern w:val="0"/>
          <w:lang w:val="es-CO" w:eastAsia="es-MX"/>
          <w14:ligatures w14:val="none"/>
        </w:rPr>
        <w:t>Artículos 634, 634-1 y 670 del Estatuto Tributario</w:t>
      </w:r>
    </w:p>
    <w:p w14:paraId="730FA20D"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39C8B5D9"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Cordial saludo</w:t>
      </w:r>
    </w:p>
    <w:p w14:paraId="63F519AD"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4CE6E580" w14:textId="77777777" w:rsidR="00DA6907" w:rsidRPr="00DA6907" w:rsidRDefault="00DA6907" w:rsidP="00DA6907">
      <w:pPr>
        <w:numPr>
          <w:ilvl w:val="0"/>
          <w:numId w:val="1"/>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0FF4FAB"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6DA029BC"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PROBLEMA JURÍDICO</w:t>
      </w:r>
    </w:p>
    <w:p w14:paraId="346E109A"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7D7FAECC" w14:textId="77777777" w:rsidR="00DA6907" w:rsidRPr="00DA6907" w:rsidRDefault="00DA6907" w:rsidP="00DA6907">
      <w:pPr>
        <w:numPr>
          <w:ilvl w:val="0"/>
          <w:numId w:val="2"/>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¿Se requiere de la existencia de un proceso administrativo o contencioso en el cual se discuta la imposición de la sanción por devolución improcedente que dispone el artículo 670 del Estatuto Tributario, para que opere la suspensión de intereses moratorios de que trata el parágrafo 2 del artículo 634 ibidem?</w:t>
      </w:r>
    </w:p>
    <w:p w14:paraId="2661B38F"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0D323A90"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TESIS JURIDICA</w:t>
      </w:r>
    </w:p>
    <w:p w14:paraId="5AFD4FF9"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42F1DCFF" w14:textId="77777777" w:rsidR="00DA6907" w:rsidRPr="00DA6907" w:rsidRDefault="00DA6907" w:rsidP="00DA6907">
      <w:pPr>
        <w:numPr>
          <w:ilvl w:val="0"/>
          <w:numId w:val="3"/>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No. Para que opere la suspensión de intereses moratorios de que trata el parágrafo 2 del artículo 634 del Estatuto Tributario en procesos de discusión de saldos a favor, se requiere que hayan transcurrido dos años desde la admisión de la demanda sin que sea necesario la existencia de un proceso administrativo o contencioso en el que se discuta la imposición de la sanción por devolución improcedente que establece el artículo 670 ibidem.</w:t>
      </w:r>
    </w:p>
    <w:p w14:paraId="53B7FECC"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54B6C1FB"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FUNDAMENTACION</w:t>
      </w:r>
    </w:p>
    <w:p w14:paraId="023CAD47" w14:textId="77777777" w:rsidR="00DA6907" w:rsidRPr="00DA6907" w:rsidRDefault="00DA6907" w:rsidP="00DA6907">
      <w:pPr>
        <w:numPr>
          <w:ilvl w:val="0"/>
          <w:numId w:val="4"/>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 xml:space="preserve">De conformidad con el parágrafo 2 del artículo 634 del Estatuto Tributario los intereses moratorios a cargo del contribuyente, </w:t>
      </w:r>
      <w:r w:rsidRPr="00DA6907">
        <w:rPr>
          <w:rFonts w:ascii="Verdana" w:eastAsia="Times New Roman" w:hAnsi="Verdana" w:cs="Times New Roman"/>
          <w:color w:val="000000"/>
          <w:kern w:val="0"/>
          <w:lang w:val="es-CO" w:eastAsia="es-MX"/>
          <w14:ligatures w14:val="none"/>
        </w:rPr>
        <w:lastRenderedPageBreak/>
        <w:t>responsable, agente retenedor o declarante se suspenden desde la fecha de la admisión de la demanda hasta la fecha en que quede ejecutoriada la providencia definitiva.</w:t>
      </w:r>
    </w:p>
    <w:p w14:paraId="6CD03044"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09D898BF" w14:textId="77777777" w:rsidR="00DA6907" w:rsidRPr="00DA6907" w:rsidRDefault="00DA6907" w:rsidP="00DA6907">
      <w:pPr>
        <w:numPr>
          <w:ilvl w:val="0"/>
          <w:numId w:val="5"/>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 xml:space="preserve">Así, la suspensión de los intereses moratorios se supedita al cumplimiento de dos condiciones: i) la admisión de la demanda ante la Jurisdicción de lo Contencioso Administrativo y </w:t>
      </w:r>
      <w:proofErr w:type="spellStart"/>
      <w:r w:rsidRPr="00DA6907">
        <w:rPr>
          <w:rFonts w:ascii="Verdana" w:eastAsia="Times New Roman" w:hAnsi="Verdana" w:cs="Times New Roman"/>
          <w:color w:val="000000"/>
          <w:kern w:val="0"/>
          <w:lang w:val="es-CO" w:eastAsia="es-MX"/>
          <w14:ligatures w14:val="none"/>
        </w:rPr>
        <w:t>ii</w:t>
      </w:r>
      <w:proofErr w:type="spellEnd"/>
      <w:r w:rsidRPr="00DA6907">
        <w:rPr>
          <w:rFonts w:ascii="Verdana" w:eastAsia="Times New Roman" w:hAnsi="Verdana" w:cs="Times New Roman"/>
          <w:color w:val="000000"/>
          <w:kern w:val="0"/>
          <w:lang w:val="es-CO" w:eastAsia="es-MX"/>
          <w14:ligatures w14:val="none"/>
        </w:rPr>
        <w:t>) que hayan transcurrido dos años desde la fecha en que fue proferida dicha decisión.</w:t>
      </w:r>
    </w:p>
    <w:p w14:paraId="55687AFA"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2442AD60" w14:textId="77777777" w:rsidR="00DA6907" w:rsidRPr="00DA6907" w:rsidRDefault="00DA6907" w:rsidP="00DA6907">
      <w:pPr>
        <w:numPr>
          <w:ilvl w:val="0"/>
          <w:numId w:val="6"/>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En este sentido, resulta claro que además de estas dos condiciones el legislador no estableció presupuestos adicionales para que opere la suspensión de intereses moratorios, ni establece excepciones para efectos de su aplicación, lo que se encuentra acorde con la finalidad de esta disposición que no es otra diferente a la de evitar hacer más gravosa la situación en aquellos casos en que se controvierten los actos tributarios ante la jurisdicción en lo contencioso administrativo, constituyéndose de esta manera en una garantía de acceso libre a la Administración de justicia.</w:t>
      </w:r>
    </w:p>
    <w:p w14:paraId="2D020C93"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42A92EEE" w14:textId="77777777" w:rsidR="00DA6907" w:rsidRPr="00DA6907" w:rsidRDefault="00DA6907" w:rsidP="00DA6907">
      <w:pPr>
        <w:numPr>
          <w:ilvl w:val="0"/>
          <w:numId w:val="7"/>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Adicionalmente, es importante precisar que, dada la naturaleza resarcitoria de los intereses moratorios, la figura suspensión solamente se predica de obligaciones relacionadas con la determinación del tributo, y no resulta aplicable para las sanciones, en cuyo caso procederá la actualización cada año en los términos que establece el artículo 867-1 del Estatuto Tributario.</w:t>
      </w:r>
    </w:p>
    <w:p w14:paraId="6F7A3DE5"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3FA56770" w14:textId="77777777" w:rsidR="00DA6907" w:rsidRPr="00DA6907" w:rsidRDefault="00DA6907" w:rsidP="00DA6907">
      <w:pPr>
        <w:numPr>
          <w:ilvl w:val="0"/>
          <w:numId w:val="8"/>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En virtud de lo anterior, cuando se adelante ante la jurisdicción en lo contencioso administrativo procesos de determinación y discusión de saldos a favor, y a su vez de manera independiente se adelante el proceso contencioso para discutir la imposición de la sanción por devolución y/o compensación improcedente que establece el inciso 3 del artículo 670 del Estatuto Tributario por estos saldos a favor, la suspensión de intereses que señala el artículo 634-1 ibidem solo aplica respecto de las sumas de dinero que debe devolver el contribuyente en caso de que el fallo definitivo haya determinado la improcedencia de los saldos a favor devueltos por parte de la Administración en su momento.</w:t>
      </w:r>
    </w:p>
    <w:p w14:paraId="477E0715"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48E290D6" w14:textId="77777777" w:rsidR="00DA6907" w:rsidRPr="00DA6907" w:rsidRDefault="00DA6907" w:rsidP="00DA6907">
      <w:pPr>
        <w:numPr>
          <w:ilvl w:val="0"/>
          <w:numId w:val="9"/>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 xml:space="preserve">Los intereses que corresponden son los liquidados por el mayor valor a pagar por impuesto, anticipos o retenciones, y que se originan al </w:t>
      </w:r>
      <w:r w:rsidRPr="00DA6907">
        <w:rPr>
          <w:rFonts w:ascii="Verdana" w:eastAsia="Times New Roman" w:hAnsi="Verdana" w:cs="Times New Roman"/>
          <w:color w:val="000000"/>
          <w:kern w:val="0"/>
          <w:lang w:val="es-CO" w:eastAsia="es-MX"/>
          <w14:ligatures w14:val="none"/>
        </w:rPr>
        <w:lastRenderedPageBreak/>
        <w:t>disminuir o desconocer el saldo a favor, sin que en ningún caso los mismos se liquiden sobre el valor de la sanción.</w:t>
      </w:r>
    </w:p>
    <w:p w14:paraId="36DB4446"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14D705CD" w14:textId="77777777" w:rsidR="00DA6907" w:rsidRPr="00DA6907" w:rsidRDefault="00DA6907" w:rsidP="00DA6907">
      <w:pPr>
        <w:numPr>
          <w:ilvl w:val="0"/>
          <w:numId w:val="10"/>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Frente a la relación de estos dos procesos, el Consejo de Estado, Sección Cuarta. Sentencia de Unificación. Radicado: 25000-23-37-000-2015-00379-01(22756) 2020CE- SUJ-4-001 del 20 de agosto de 2020, expresó:</w:t>
      </w:r>
    </w:p>
    <w:p w14:paraId="1806512F"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45652508" w14:textId="77777777" w:rsidR="00DA6907" w:rsidRPr="00DA6907" w:rsidRDefault="00DA6907" w:rsidP="00DA6907">
      <w:pPr>
        <w:ind w:left="1440"/>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i/>
          <w:iCs/>
          <w:color w:val="000000"/>
          <w:kern w:val="0"/>
          <w:sz w:val="22"/>
          <w:szCs w:val="22"/>
          <w:lang w:val="es-CO" w:eastAsia="es-MX"/>
          <w14:ligatures w14:val="none"/>
        </w:rPr>
        <w:t>“Lo anterior, porque los actos sancionadores y los de determinación oficial del impuesto son actuaciones diferentes, que siguen procedimientos diversos y se justifican en hechos independientes; aun a pesar de que los actos administrativos de liquidación del tributo sean el fundamento fáctico de la sanción por devolución o compensación improcedente.”</w:t>
      </w:r>
    </w:p>
    <w:p w14:paraId="544A7D25"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48AFDB18" w14:textId="77777777" w:rsidR="00DA6907" w:rsidRPr="00DA6907" w:rsidRDefault="00DA6907" w:rsidP="00DA6907">
      <w:pPr>
        <w:numPr>
          <w:ilvl w:val="0"/>
          <w:numId w:val="11"/>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Como se precisó anteriormente para que opere la suspensión de intereses moratorios solamente se requiere que hayan transcurrido dos años desde la admisión de la demanda, sin que puedan exigirse requisitos adicionales o exclusiones que no dispuso el legislador para su aplicación.</w:t>
      </w:r>
    </w:p>
    <w:p w14:paraId="1D74FBB7" w14:textId="77777777" w:rsidR="00DA6907" w:rsidRPr="00DA6907" w:rsidRDefault="00DA6907" w:rsidP="00DA6907">
      <w:pPr>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2BE966B6" w14:textId="77777777" w:rsidR="00DA6907" w:rsidRPr="00DA6907" w:rsidRDefault="00DA6907" w:rsidP="00DA6907">
      <w:pPr>
        <w:numPr>
          <w:ilvl w:val="0"/>
          <w:numId w:val="12"/>
        </w:numPr>
        <w:jc w:val="both"/>
        <w:textAlignment w:val="baseline"/>
        <w:rPr>
          <w:rFonts w:ascii="Verdana" w:eastAsia="Times New Roman" w:hAnsi="Verdana" w:cs="Times New Roman"/>
          <w:color w:val="000000"/>
          <w:kern w:val="0"/>
          <w:lang w:val="es-CO" w:eastAsia="es-MX"/>
          <w14:ligatures w14:val="none"/>
        </w:rPr>
      </w:pPr>
      <w:r w:rsidRPr="00DA6907">
        <w:rPr>
          <w:rFonts w:ascii="Verdana" w:eastAsia="Times New Roman" w:hAnsi="Verdana" w:cs="Times New Roman"/>
          <w:color w:val="000000"/>
          <w:kern w:val="0"/>
          <w:lang w:val="es-CO" w:eastAsia="es-MX"/>
          <w14:ligatures w14:val="none"/>
        </w:rPr>
        <w:t>En este sentido, y sin perjuicio de la relación causal existente entre los procesos sancionatorios y de determinación del tributo en estos casos, la suspensión de intereses moratorios que establece el parágrafo 2 del artículo 634 del Estatuto Tributario opera indistintamente de la existencia o no de un proceso administrativo o contencioso de imposición de sanciones que se esté adelantando de manera alterna o independiente al proceso contencioso de revisión y determinación del tributo.</w:t>
      </w:r>
    </w:p>
    <w:p w14:paraId="341615AE"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4E4A8B94"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DA6907">
        <w:rPr>
          <w:rFonts w:ascii="Verdana" w:eastAsia="Times New Roman" w:hAnsi="Verdana" w:cs="Times New Roman"/>
          <w:color w:val="000000"/>
          <w:kern w:val="0"/>
          <w:u w:val="single"/>
          <w:lang w:val="es-CO" w:eastAsia="es-MX"/>
          <w14:ligatures w14:val="none"/>
        </w:rPr>
        <w:t>https://normograma.dian.gov.co/dian/</w:t>
      </w:r>
      <w:r w:rsidRPr="00DA6907">
        <w:rPr>
          <w:rFonts w:ascii="Verdana" w:eastAsia="Times New Roman" w:hAnsi="Verdana" w:cs="Times New Roman"/>
          <w:color w:val="000000"/>
          <w:kern w:val="0"/>
          <w:lang w:val="es-CO" w:eastAsia="es-MX"/>
          <w14:ligatures w14:val="none"/>
        </w:rPr>
        <w:t>.</w:t>
      </w:r>
    </w:p>
    <w:p w14:paraId="1CD97EAA"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5EDD07B0"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Atentamente,</w:t>
      </w:r>
    </w:p>
    <w:p w14:paraId="607CD329" w14:textId="77777777" w:rsidR="00DA6907" w:rsidRPr="00DA6907" w:rsidRDefault="00DA6907" w:rsidP="00DA6907">
      <w:pPr>
        <w:spacing w:after="240"/>
        <w:rPr>
          <w:rFonts w:ascii="Times New Roman" w:eastAsia="Times New Roman" w:hAnsi="Times New Roman" w:cs="Times New Roman"/>
          <w:kern w:val="0"/>
          <w:lang w:val="es-CO" w:eastAsia="es-MX"/>
          <w14:ligatures w14:val="none"/>
        </w:rPr>
      </w:pPr>
      <w:r w:rsidRPr="00DA6907">
        <w:rPr>
          <w:rFonts w:ascii="Times New Roman" w:eastAsia="Times New Roman" w:hAnsi="Times New Roman" w:cs="Times New Roman"/>
          <w:kern w:val="0"/>
          <w:lang w:val="es-CO" w:eastAsia="es-MX"/>
          <w14:ligatures w14:val="none"/>
        </w:rPr>
        <w:br/>
      </w:r>
    </w:p>
    <w:p w14:paraId="2FBDBF23"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b/>
          <w:bCs/>
          <w:color w:val="000000"/>
          <w:kern w:val="0"/>
          <w:lang w:val="es-CO" w:eastAsia="es-MX"/>
          <w14:ligatures w14:val="none"/>
        </w:rPr>
        <w:t>INGRID CASTAÑEDA CEPEDA</w:t>
      </w:r>
    </w:p>
    <w:p w14:paraId="1D5A6321"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Subdirectora de Normativa y Doctrina (A)</w:t>
      </w:r>
    </w:p>
    <w:p w14:paraId="2F99B26B"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Dirección de Gestión Jurídica</w:t>
      </w:r>
    </w:p>
    <w:p w14:paraId="365E8D03"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U.A.E. Dirección de Impuestos y Aduanas Nacionales – DIAN</w:t>
      </w:r>
    </w:p>
    <w:p w14:paraId="64547345"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lastRenderedPageBreak/>
        <w:t xml:space="preserve">Dirección: </w:t>
      </w:r>
      <w:proofErr w:type="spellStart"/>
      <w:r w:rsidRPr="00DA6907">
        <w:rPr>
          <w:rFonts w:ascii="Verdana" w:eastAsia="Times New Roman" w:hAnsi="Verdana" w:cs="Times New Roman"/>
          <w:color w:val="000000"/>
          <w:kern w:val="0"/>
          <w:lang w:val="es-CO" w:eastAsia="es-MX"/>
          <w14:ligatures w14:val="none"/>
        </w:rPr>
        <w:t>Cra</w:t>
      </w:r>
      <w:proofErr w:type="spellEnd"/>
      <w:r w:rsidRPr="00DA6907">
        <w:rPr>
          <w:rFonts w:ascii="Verdana" w:eastAsia="Times New Roman" w:hAnsi="Verdana" w:cs="Times New Roman"/>
          <w:color w:val="000000"/>
          <w:kern w:val="0"/>
          <w:lang w:val="es-CO" w:eastAsia="es-MX"/>
          <w14:ligatures w14:val="none"/>
        </w:rPr>
        <w:t>. 8 # 6C-38 Edificio San Agustín - Piso 4</w:t>
      </w:r>
    </w:p>
    <w:p w14:paraId="16D70D56"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lang w:val="es-CO" w:eastAsia="es-MX"/>
          <w14:ligatures w14:val="none"/>
        </w:rPr>
        <w:t>Bogotá, D.C.</w:t>
      </w:r>
    </w:p>
    <w:p w14:paraId="53276BF7" w14:textId="77777777" w:rsidR="00DA6907" w:rsidRPr="00DA6907" w:rsidRDefault="00DA6907" w:rsidP="00DA6907">
      <w:pPr>
        <w:jc w:val="both"/>
        <w:rPr>
          <w:rFonts w:ascii="Times New Roman" w:eastAsia="Times New Roman" w:hAnsi="Times New Roman" w:cs="Times New Roman"/>
          <w:kern w:val="0"/>
          <w:lang w:val="es-CO" w:eastAsia="es-MX"/>
          <w14:ligatures w14:val="none"/>
        </w:rPr>
      </w:pPr>
      <w:r w:rsidRPr="00DA6907">
        <w:rPr>
          <w:rFonts w:ascii="Verdana" w:eastAsia="Times New Roman" w:hAnsi="Verdana" w:cs="Times New Roman"/>
          <w:color w:val="000000"/>
          <w:kern w:val="0"/>
          <w:u w:val="single"/>
          <w:lang w:val="es-CO" w:eastAsia="es-MX"/>
          <w14:ligatures w14:val="none"/>
        </w:rPr>
        <w:t>www.dian.gov.co</w:t>
      </w:r>
    </w:p>
    <w:p w14:paraId="2A65C6C3" w14:textId="77777777" w:rsidR="00DA6907" w:rsidRPr="00DA6907" w:rsidRDefault="00DA6907" w:rsidP="00DA6907">
      <w:pPr>
        <w:rPr>
          <w:rFonts w:ascii="Times New Roman" w:eastAsia="Times New Roman" w:hAnsi="Times New Roman" w:cs="Times New Roman"/>
          <w:kern w:val="0"/>
          <w:lang w:val="es-CO" w:eastAsia="es-MX"/>
          <w14:ligatures w14:val="none"/>
        </w:rPr>
      </w:pPr>
    </w:p>
    <w:p w14:paraId="02CBBFB3"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F6247"/>
    <w:multiLevelType w:val="multilevel"/>
    <w:tmpl w:val="F23463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82707A"/>
    <w:multiLevelType w:val="multilevel"/>
    <w:tmpl w:val="A9D4B1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A45654"/>
    <w:multiLevelType w:val="multilevel"/>
    <w:tmpl w:val="5BEAA03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320750"/>
    <w:multiLevelType w:val="multilevel"/>
    <w:tmpl w:val="73E0D5C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7B2248B"/>
    <w:multiLevelType w:val="multilevel"/>
    <w:tmpl w:val="2D20748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C997E9B"/>
    <w:multiLevelType w:val="multilevel"/>
    <w:tmpl w:val="CDEED77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FF71965"/>
    <w:multiLevelType w:val="multilevel"/>
    <w:tmpl w:val="C002AC4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A543874"/>
    <w:multiLevelType w:val="multilevel"/>
    <w:tmpl w:val="F3E8C86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721656D"/>
    <w:multiLevelType w:val="multilevel"/>
    <w:tmpl w:val="973C7EC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A122241"/>
    <w:multiLevelType w:val="multilevel"/>
    <w:tmpl w:val="B922D96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6EE792B"/>
    <w:multiLevelType w:val="multilevel"/>
    <w:tmpl w:val="8748357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F7E1327"/>
    <w:multiLevelType w:val="multilevel"/>
    <w:tmpl w:val="CB44A01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24455964">
    <w:abstractNumId w:val="1"/>
  </w:num>
  <w:num w:numId="2" w16cid:durableId="1386027625">
    <w:abstractNumId w:val="2"/>
    <w:lvlOverride w:ilvl="0">
      <w:lvl w:ilvl="0">
        <w:numFmt w:val="decimal"/>
        <w:lvlText w:val="%1."/>
        <w:lvlJc w:val="left"/>
      </w:lvl>
    </w:lvlOverride>
  </w:num>
  <w:num w:numId="3" w16cid:durableId="983700445">
    <w:abstractNumId w:val="6"/>
    <w:lvlOverride w:ilvl="0">
      <w:lvl w:ilvl="0">
        <w:numFmt w:val="decimal"/>
        <w:lvlText w:val="%1."/>
        <w:lvlJc w:val="left"/>
      </w:lvl>
    </w:lvlOverride>
  </w:num>
  <w:num w:numId="4" w16cid:durableId="383799544">
    <w:abstractNumId w:val="10"/>
    <w:lvlOverride w:ilvl="0">
      <w:lvl w:ilvl="0">
        <w:numFmt w:val="decimal"/>
        <w:lvlText w:val="%1."/>
        <w:lvlJc w:val="left"/>
      </w:lvl>
    </w:lvlOverride>
  </w:num>
  <w:num w:numId="5" w16cid:durableId="1224675855">
    <w:abstractNumId w:val="0"/>
    <w:lvlOverride w:ilvl="0">
      <w:lvl w:ilvl="0">
        <w:numFmt w:val="decimal"/>
        <w:lvlText w:val="%1."/>
        <w:lvlJc w:val="left"/>
      </w:lvl>
    </w:lvlOverride>
  </w:num>
  <w:num w:numId="6" w16cid:durableId="1860318112">
    <w:abstractNumId w:val="9"/>
    <w:lvlOverride w:ilvl="0">
      <w:lvl w:ilvl="0">
        <w:numFmt w:val="decimal"/>
        <w:lvlText w:val="%1."/>
        <w:lvlJc w:val="left"/>
      </w:lvl>
    </w:lvlOverride>
  </w:num>
  <w:num w:numId="7" w16cid:durableId="567572995">
    <w:abstractNumId w:val="7"/>
    <w:lvlOverride w:ilvl="0">
      <w:lvl w:ilvl="0">
        <w:numFmt w:val="decimal"/>
        <w:lvlText w:val="%1."/>
        <w:lvlJc w:val="left"/>
      </w:lvl>
    </w:lvlOverride>
  </w:num>
  <w:num w:numId="8" w16cid:durableId="1225600684">
    <w:abstractNumId w:val="8"/>
    <w:lvlOverride w:ilvl="0">
      <w:lvl w:ilvl="0">
        <w:numFmt w:val="decimal"/>
        <w:lvlText w:val="%1."/>
        <w:lvlJc w:val="left"/>
      </w:lvl>
    </w:lvlOverride>
  </w:num>
  <w:num w:numId="9" w16cid:durableId="2125464324">
    <w:abstractNumId w:val="3"/>
    <w:lvlOverride w:ilvl="0">
      <w:lvl w:ilvl="0">
        <w:numFmt w:val="decimal"/>
        <w:lvlText w:val="%1."/>
        <w:lvlJc w:val="left"/>
      </w:lvl>
    </w:lvlOverride>
  </w:num>
  <w:num w:numId="10" w16cid:durableId="953902022">
    <w:abstractNumId w:val="5"/>
    <w:lvlOverride w:ilvl="0">
      <w:lvl w:ilvl="0">
        <w:numFmt w:val="decimal"/>
        <w:lvlText w:val="%1."/>
        <w:lvlJc w:val="left"/>
      </w:lvl>
    </w:lvlOverride>
  </w:num>
  <w:num w:numId="11" w16cid:durableId="2063942893">
    <w:abstractNumId w:val="11"/>
    <w:lvlOverride w:ilvl="0">
      <w:lvl w:ilvl="0">
        <w:numFmt w:val="decimal"/>
        <w:lvlText w:val="%1."/>
        <w:lvlJc w:val="left"/>
      </w:lvl>
    </w:lvlOverride>
  </w:num>
  <w:num w:numId="12" w16cid:durableId="102967722">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907"/>
    <w:rsid w:val="000B2285"/>
    <w:rsid w:val="00284D72"/>
    <w:rsid w:val="00537D8F"/>
    <w:rsid w:val="00B83A7B"/>
    <w:rsid w:val="00DA6907"/>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197877FE"/>
  <w14:defaultImageDpi w14:val="32767"/>
  <w15:chartTrackingRefBased/>
  <w15:docId w15:val="{B096134F-2F0C-0D41-AB25-E792654E4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A690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A690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A6907"/>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A6907"/>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A6907"/>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A6907"/>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A6907"/>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A6907"/>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A6907"/>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A6907"/>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A6907"/>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A6907"/>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A6907"/>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A6907"/>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A690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A690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A690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A6907"/>
    <w:rPr>
      <w:rFonts w:eastAsiaTheme="majorEastAsia" w:cstheme="majorBidi"/>
      <w:color w:val="272727" w:themeColor="text1" w:themeTint="D8"/>
    </w:rPr>
  </w:style>
  <w:style w:type="paragraph" w:styleId="Ttulo">
    <w:name w:val="Title"/>
    <w:basedOn w:val="Normal"/>
    <w:next w:val="Normal"/>
    <w:link w:val="TtuloCar"/>
    <w:uiPriority w:val="10"/>
    <w:qFormat/>
    <w:rsid w:val="00DA6907"/>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A690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A6907"/>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A690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A6907"/>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A6907"/>
    <w:rPr>
      <w:i/>
      <w:iCs/>
      <w:color w:val="404040" w:themeColor="text1" w:themeTint="BF"/>
    </w:rPr>
  </w:style>
  <w:style w:type="paragraph" w:styleId="Prrafodelista">
    <w:name w:val="List Paragraph"/>
    <w:basedOn w:val="Normal"/>
    <w:uiPriority w:val="34"/>
    <w:qFormat/>
    <w:rsid w:val="00DA6907"/>
    <w:pPr>
      <w:ind w:left="720"/>
      <w:contextualSpacing/>
    </w:pPr>
  </w:style>
  <w:style w:type="character" w:styleId="nfasisintenso">
    <w:name w:val="Intense Emphasis"/>
    <w:basedOn w:val="Fuentedeprrafopredeter"/>
    <w:uiPriority w:val="21"/>
    <w:qFormat/>
    <w:rsid w:val="00DA6907"/>
    <w:rPr>
      <w:i/>
      <w:iCs/>
      <w:color w:val="2F5496" w:themeColor="accent1" w:themeShade="BF"/>
    </w:rPr>
  </w:style>
  <w:style w:type="paragraph" w:styleId="Citadestacada">
    <w:name w:val="Intense Quote"/>
    <w:basedOn w:val="Normal"/>
    <w:next w:val="Normal"/>
    <w:link w:val="CitadestacadaCar"/>
    <w:uiPriority w:val="30"/>
    <w:qFormat/>
    <w:rsid w:val="00DA690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A6907"/>
    <w:rPr>
      <w:i/>
      <w:iCs/>
      <w:color w:val="2F5496" w:themeColor="accent1" w:themeShade="BF"/>
    </w:rPr>
  </w:style>
  <w:style w:type="character" w:styleId="Referenciaintensa">
    <w:name w:val="Intense Reference"/>
    <w:basedOn w:val="Fuentedeprrafopredeter"/>
    <w:uiPriority w:val="32"/>
    <w:qFormat/>
    <w:rsid w:val="00DA6907"/>
    <w:rPr>
      <w:b/>
      <w:bCs/>
      <w:smallCaps/>
      <w:color w:val="2F5496" w:themeColor="accent1" w:themeShade="BF"/>
      <w:spacing w:val="5"/>
    </w:rPr>
  </w:style>
  <w:style w:type="paragraph" w:styleId="NormalWeb">
    <w:name w:val="Normal (Web)"/>
    <w:basedOn w:val="Normal"/>
    <w:uiPriority w:val="99"/>
    <w:semiHidden/>
    <w:unhideWhenUsed/>
    <w:rsid w:val="00DA6907"/>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DA69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907</Words>
  <Characters>4990</Characters>
  <Application>Microsoft Office Word</Application>
  <DocSecurity>0</DocSecurity>
  <Lines>41</Lines>
  <Paragraphs>11</Paragraphs>
  <ScaleCrop>false</ScaleCrop>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cote</dc:creator>
  <cp:keywords/>
  <dc:description/>
  <cp:lastModifiedBy>gustavo cote</cp:lastModifiedBy>
  <cp:revision>1</cp:revision>
  <dcterms:created xsi:type="dcterms:W3CDTF">2025-10-03T22:03:00Z</dcterms:created>
  <dcterms:modified xsi:type="dcterms:W3CDTF">2025-10-03T22:05:00Z</dcterms:modified>
</cp:coreProperties>
</file>