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79135" w14:textId="77777777" w:rsidR="007571CE" w:rsidRPr="007571CE" w:rsidRDefault="007571CE" w:rsidP="007571CE">
      <w:pPr>
        <w:jc w:val="center"/>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CONCEPTO DIAN 1134 DEL 29 DE JULIO DE 2025</w:t>
      </w:r>
    </w:p>
    <w:p w14:paraId="4C8A96BD" w14:textId="77777777" w:rsidR="007571CE" w:rsidRPr="007571CE" w:rsidRDefault="007571CE" w:rsidP="007571CE">
      <w:pPr>
        <w:jc w:val="center"/>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DIRECCIÓN DE IMPUESTOS Y ADUANAS NACIONALES</w:t>
      </w:r>
    </w:p>
    <w:p w14:paraId="7BC5AD7E"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699DBCFF"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Bogotá, D.C.,</w:t>
      </w:r>
    </w:p>
    <w:p w14:paraId="63687700"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39AA1836"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Tema:</w:t>
      </w:r>
      <w:r w:rsidRPr="007571CE">
        <w:rPr>
          <w:rFonts w:ascii="Verdana" w:eastAsia="Times New Roman" w:hAnsi="Verdana" w:cs="Times New Roman"/>
          <w:b/>
          <w:bCs/>
          <w:color w:val="000000"/>
          <w:kern w:val="0"/>
          <w:lang w:val="es-CO" w:eastAsia="es-MX"/>
          <w14:ligatures w14:val="none"/>
        </w:rPr>
        <w:tab/>
      </w:r>
      <w:r w:rsidRPr="007571CE">
        <w:rPr>
          <w:rFonts w:ascii="Verdana" w:eastAsia="Times New Roman" w:hAnsi="Verdana" w:cs="Times New Roman"/>
          <w:b/>
          <w:bCs/>
          <w:color w:val="000000"/>
          <w:kern w:val="0"/>
          <w:lang w:val="es-CO" w:eastAsia="es-MX"/>
          <w14:ligatures w14:val="none"/>
        </w:rPr>
        <w:tab/>
      </w:r>
      <w:r w:rsidRPr="007571CE">
        <w:rPr>
          <w:rFonts w:ascii="Verdana" w:eastAsia="Times New Roman" w:hAnsi="Verdana" w:cs="Times New Roman"/>
          <w:b/>
          <w:bCs/>
          <w:color w:val="000000"/>
          <w:kern w:val="0"/>
          <w:lang w:val="es-CO" w:eastAsia="es-MX"/>
          <w14:ligatures w14:val="none"/>
        </w:rPr>
        <w:tab/>
      </w:r>
      <w:r w:rsidRPr="007571CE">
        <w:rPr>
          <w:rFonts w:ascii="Verdana" w:eastAsia="Times New Roman" w:hAnsi="Verdana" w:cs="Times New Roman"/>
          <w:color w:val="000000"/>
          <w:kern w:val="0"/>
          <w:lang w:val="es-CO" w:eastAsia="es-MX"/>
          <w14:ligatures w14:val="none"/>
        </w:rPr>
        <w:t>Procedimiento Tributario</w:t>
      </w:r>
    </w:p>
    <w:p w14:paraId="4D6FA7F5"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Descriptores:</w:t>
      </w:r>
      <w:r w:rsidRPr="007571CE">
        <w:rPr>
          <w:rFonts w:ascii="Verdana" w:eastAsia="Times New Roman" w:hAnsi="Verdana" w:cs="Times New Roman"/>
          <w:b/>
          <w:bCs/>
          <w:color w:val="000000"/>
          <w:kern w:val="0"/>
          <w:lang w:val="es-CO" w:eastAsia="es-MX"/>
          <w14:ligatures w14:val="none"/>
        </w:rPr>
        <w:tab/>
      </w:r>
      <w:r w:rsidRPr="007571CE">
        <w:rPr>
          <w:rFonts w:ascii="Verdana" w:eastAsia="Times New Roman" w:hAnsi="Verdana" w:cs="Times New Roman"/>
          <w:b/>
          <w:bCs/>
          <w:color w:val="000000"/>
          <w:kern w:val="0"/>
          <w:lang w:val="es-CO" w:eastAsia="es-MX"/>
          <w14:ligatures w14:val="none"/>
        </w:rPr>
        <w:tab/>
      </w:r>
      <w:r w:rsidRPr="007571CE">
        <w:rPr>
          <w:rFonts w:ascii="Verdana" w:eastAsia="Times New Roman" w:hAnsi="Verdana" w:cs="Times New Roman"/>
          <w:color w:val="000000"/>
          <w:kern w:val="0"/>
          <w:lang w:val="es-CO" w:eastAsia="es-MX"/>
          <w14:ligatures w14:val="none"/>
        </w:rPr>
        <w:t>Firmeza declaraciones</w:t>
      </w:r>
    </w:p>
    <w:p w14:paraId="4F8B41C3" w14:textId="77777777" w:rsidR="007571CE" w:rsidRPr="007571CE" w:rsidRDefault="007571CE" w:rsidP="007571CE">
      <w:pPr>
        <w:ind w:left="2880"/>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Declaración del impuesto sobre las ventas y retención en la fuente</w:t>
      </w:r>
    </w:p>
    <w:p w14:paraId="2C66B4ED" w14:textId="77777777" w:rsidR="007571CE" w:rsidRPr="007571CE" w:rsidRDefault="007571CE" w:rsidP="007571CE">
      <w:pPr>
        <w:ind w:left="2880"/>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Suspensión término firmeza de las declaraciones</w:t>
      </w:r>
    </w:p>
    <w:p w14:paraId="7B37AED4"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Fuentes formales:</w:t>
      </w:r>
      <w:r w:rsidRPr="007571CE">
        <w:rPr>
          <w:rFonts w:ascii="Verdana" w:eastAsia="Times New Roman" w:hAnsi="Verdana" w:cs="Times New Roman"/>
          <w:b/>
          <w:bCs/>
          <w:color w:val="000000"/>
          <w:kern w:val="0"/>
          <w:lang w:val="es-CO" w:eastAsia="es-MX"/>
          <w14:ligatures w14:val="none"/>
        </w:rPr>
        <w:tab/>
      </w:r>
      <w:r w:rsidRPr="007571CE">
        <w:rPr>
          <w:rFonts w:ascii="Verdana" w:eastAsia="Times New Roman" w:hAnsi="Verdana" w:cs="Times New Roman"/>
          <w:color w:val="000000"/>
          <w:kern w:val="0"/>
          <w:lang w:val="es-CO" w:eastAsia="es-MX"/>
          <w14:ligatures w14:val="none"/>
        </w:rPr>
        <w:t>Artículo 705, 705-1, 706, 714 Estatuto Tributario</w:t>
      </w:r>
    </w:p>
    <w:p w14:paraId="223AE6D7" w14:textId="77777777" w:rsidR="007571CE" w:rsidRPr="007571CE" w:rsidRDefault="007571CE" w:rsidP="007571CE">
      <w:pPr>
        <w:ind w:left="2880"/>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Sentencia Consejo de Estado, Radicación número: 73001-23-33-000-2013- 00453-02(22105) de 5 de agosto de 2021.</w:t>
      </w:r>
    </w:p>
    <w:p w14:paraId="48B68844" w14:textId="77777777" w:rsidR="007571CE" w:rsidRPr="007571CE" w:rsidRDefault="007571CE" w:rsidP="007571CE">
      <w:pPr>
        <w:ind w:left="2880"/>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Sentencia Consejo de Estado, Radicación número: 15001-23-33-000-2013- 00675-01(21185) de 19 de mayo de 2016.</w:t>
      </w:r>
    </w:p>
    <w:p w14:paraId="1D968175"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31F1166F"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Cordial saludo</w:t>
      </w:r>
    </w:p>
    <w:p w14:paraId="08F66B42"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707D68AA" w14:textId="77777777" w:rsidR="007571CE" w:rsidRPr="007571CE" w:rsidRDefault="007571CE" w:rsidP="007571CE">
      <w:pPr>
        <w:numPr>
          <w:ilvl w:val="0"/>
          <w:numId w:val="1"/>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625299C"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2ABA1612"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PROBLEMA JURÍDICO</w:t>
      </w:r>
    </w:p>
    <w:p w14:paraId="3FED868F"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164FE382" w14:textId="77777777" w:rsidR="007571CE" w:rsidRPr="007571CE" w:rsidRDefault="007571CE" w:rsidP="007571CE">
      <w:pPr>
        <w:numPr>
          <w:ilvl w:val="0"/>
          <w:numId w:val="2"/>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¿La práctica de inspecciones tributarias (de oficio o a petición del contribuyente, responsables, agente retenedor o declarante), o la notificación del emplazamiento para corregir de declaraciones del Impuesto sobre las ventas y de Retención en la fuente, suspende el término de firmeza de la declaración del Impuesto sobre la renta del año gravable correspondiente a los períodos de las declaraciones sobre las cuales la DIAN ordeno estas actuaciones?</w:t>
      </w:r>
    </w:p>
    <w:p w14:paraId="11D7B79D"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1BABBD28"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TESIS JURÍDICA</w:t>
      </w:r>
    </w:p>
    <w:p w14:paraId="26846713"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4072F894" w14:textId="77777777" w:rsidR="007571CE" w:rsidRPr="007571CE" w:rsidRDefault="007571CE" w:rsidP="007571CE">
      <w:pPr>
        <w:numPr>
          <w:ilvl w:val="0"/>
          <w:numId w:val="3"/>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 xml:space="preserve">No. Las suspensiones al término para notificar el requerimiento especial establecidas en el artículo 706 del E.T. que se realicen respecto </w:t>
      </w:r>
      <w:r w:rsidRPr="007571CE">
        <w:rPr>
          <w:rFonts w:ascii="Verdana" w:eastAsia="Times New Roman" w:hAnsi="Verdana" w:cs="Times New Roman"/>
          <w:color w:val="000000"/>
          <w:kern w:val="0"/>
          <w:lang w:val="es-CO" w:eastAsia="es-MX"/>
          <w14:ligatures w14:val="none"/>
        </w:rPr>
        <w:lastRenderedPageBreak/>
        <w:t>a la declaración de IVA o retención en la fuente, no modifican el término de firmeza de la declaración de renta que coincida con el correspondiente año gravable.</w:t>
      </w:r>
    </w:p>
    <w:p w14:paraId="15B713D8"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2B810349" w14:textId="77777777" w:rsidR="007571CE" w:rsidRPr="007571CE" w:rsidRDefault="007571CE" w:rsidP="007571CE">
      <w:pPr>
        <w:jc w:val="center"/>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FUNDAMENTACIÓN</w:t>
      </w:r>
    </w:p>
    <w:p w14:paraId="0F67DBBE"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1E65C1CC" w14:textId="77777777" w:rsidR="007571CE" w:rsidRPr="007571CE" w:rsidRDefault="007571CE" w:rsidP="007571CE">
      <w:pPr>
        <w:numPr>
          <w:ilvl w:val="0"/>
          <w:numId w:val="4"/>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 xml:space="preserve">El artículo 705-1 del Estatuto Tributario establece que los términos para notificar el requerimiento especial y para la firmeza de las declaraciones del impuesto sobre las ventas y de retención en la fuente del contribuyente a que se refieren los artículos </w:t>
      </w:r>
      <w:hyperlink r:id="rId5" w:anchor="705" w:history="1">
        <w:r w:rsidRPr="007571CE">
          <w:rPr>
            <w:rFonts w:ascii="Verdana" w:eastAsia="Times New Roman" w:hAnsi="Verdana" w:cs="Times New Roman"/>
            <w:color w:val="000000"/>
            <w:kern w:val="0"/>
            <w:u w:val="single"/>
            <w:lang w:val="es-CO" w:eastAsia="es-MX"/>
            <w14:ligatures w14:val="none"/>
          </w:rPr>
          <w:t>705</w:t>
        </w:r>
      </w:hyperlink>
      <w:r w:rsidRPr="007571CE">
        <w:rPr>
          <w:rFonts w:ascii="Verdana" w:eastAsia="Times New Roman" w:hAnsi="Verdana" w:cs="Times New Roman"/>
          <w:color w:val="000000"/>
          <w:kern w:val="0"/>
          <w:lang w:val="es-CO" w:eastAsia="es-MX"/>
          <w14:ligatures w14:val="none"/>
        </w:rPr>
        <w:t xml:space="preserve"> y </w:t>
      </w:r>
      <w:hyperlink r:id="rId6" w:anchor="714" w:history="1">
        <w:r w:rsidRPr="007571CE">
          <w:rPr>
            <w:rFonts w:ascii="Verdana" w:eastAsia="Times New Roman" w:hAnsi="Verdana" w:cs="Times New Roman"/>
            <w:color w:val="000000"/>
            <w:kern w:val="0"/>
            <w:u w:val="single"/>
            <w:lang w:val="es-CO" w:eastAsia="es-MX"/>
            <w14:ligatures w14:val="none"/>
          </w:rPr>
          <w:t>714</w:t>
        </w:r>
      </w:hyperlink>
      <w:r w:rsidRPr="007571CE">
        <w:rPr>
          <w:rFonts w:ascii="Verdana" w:eastAsia="Times New Roman" w:hAnsi="Verdana" w:cs="Times New Roman"/>
          <w:color w:val="000000"/>
          <w:kern w:val="0"/>
          <w:lang w:val="es-CO" w:eastAsia="es-MX"/>
          <w14:ligatures w14:val="none"/>
        </w:rPr>
        <w:t xml:space="preserve"> del Estatuto Tributario, serán los mismos que correspondan a su declaración de renta respecto de aquellos períodos que coincidan con el correspondiente año gravable.</w:t>
      </w:r>
    </w:p>
    <w:p w14:paraId="40C8644F"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62BD0330" w14:textId="77777777" w:rsidR="007571CE" w:rsidRPr="007571CE" w:rsidRDefault="007571CE" w:rsidP="007571CE">
      <w:pPr>
        <w:numPr>
          <w:ilvl w:val="0"/>
          <w:numId w:val="5"/>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Al respecto, el Consejo de Estado, a través de sentencia de unificación</w:t>
      </w:r>
      <w:r w:rsidRPr="007571CE">
        <w:rPr>
          <w:rFonts w:ascii="Verdana" w:eastAsia="Times New Roman" w:hAnsi="Verdana" w:cs="Times New Roman"/>
          <w:color w:val="000000"/>
          <w:kern w:val="0"/>
          <w:vertAlign w:val="superscript"/>
          <w:lang w:val="es-CO" w:eastAsia="es-MX"/>
          <w14:ligatures w14:val="none"/>
        </w:rPr>
        <w:t xml:space="preserve"> </w:t>
      </w:r>
      <w:r w:rsidRPr="007571CE">
        <w:rPr>
          <w:rFonts w:ascii="Verdana" w:eastAsia="Times New Roman" w:hAnsi="Verdana" w:cs="Times New Roman"/>
          <w:color w:val="000000"/>
          <w:kern w:val="0"/>
          <w:lang w:val="es-CO" w:eastAsia="es-MX"/>
          <w14:ligatures w14:val="none"/>
        </w:rPr>
        <w:t>señaló que el artículo 705-1 del Estatuto Tributario se introdujo en nuestro ordenamiento con el fin de unificar el término de fiscalización de la declaración de renta con el de las declaraciones de IVA y retención en la fuente del mismo período gravable sin consagrar excepción alguna, constituyéndose así en la norma especial, posterior en el tiempo y en consecuencia de prevalente aplicación respecto de la regla de firmeza de carácter general prevista en los artículos 705 y 714 ibidem.</w:t>
      </w:r>
    </w:p>
    <w:p w14:paraId="08303623"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3C998D32" w14:textId="77777777" w:rsidR="007571CE" w:rsidRPr="007571CE" w:rsidRDefault="007571CE" w:rsidP="007571CE">
      <w:pPr>
        <w:numPr>
          <w:ilvl w:val="0"/>
          <w:numId w:val="6"/>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 xml:space="preserve">De acuerdo con esto, el </w:t>
      </w:r>
      <w:hyperlink r:id="rId7" w:anchor="705-1" w:history="1">
        <w:r w:rsidRPr="007571CE">
          <w:rPr>
            <w:rFonts w:ascii="Verdana" w:eastAsia="Times New Roman" w:hAnsi="Verdana" w:cs="Times New Roman"/>
            <w:color w:val="000000"/>
            <w:kern w:val="0"/>
            <w:u w:val="single"/>
            <w:lang w:val="es-CO" w:eastAsia="es-MX"/>
            <w14:ligatures w14:val="none"/>
          </w:rPr>
          <w:t>artículo 705-1 del Estatuto Tributario</w:t>
        </w:r>
      </w:hyperlink>
      <w:r w:rsidRPr="007571CE">
        <w:rPr>
          <w:rFonts w:ascii="Verdana" w:eastAsia="Times New Roman" w:hAnsi="Verdana" w:cs="Times New Roman"/>
          <w:color w:val="000000"/>
          <w:kern w:val="0"/>
          <w:lang w:val="es-CO" w:eastAsia="es-MX"/>
          <w14:ligatures w14:val="none"/>
        </w:rPr>
        <w:t xml:space="preserve"> unifica el término de firmeza de las declaraciones de IVA y retención en la fuente con el de la declaración de renta del mismo año gravable. Sin embargo, en el caso que la declaración de renta goce del beneficio de auditoría establecido en los artículos 689-2 y 689-3 del Estatuto Tributario, este no se hace extensivo a las declaraciones de IVA, ni de retención en la fuente por mandato expreso del parágrafo cuarto de los artículos 689-2 y 689-3 ibidem, por lo tanto, estas últimas quedan sometidas a la firmeza general de las declaraciones previsto en los artículos 705 y 714 del Estatuto Tributario.</w:t>
      </w:r>
    </w:p>
    <w:p w14:paraId="69CA7EA5"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186964B9" w14:textId="77777777" w:rsidR="007571CE" w:rsidRPr="007571CE" w:rsidRDefault="007571CE" w:rsidP="007571CE">
      <w:pPr>
        <w:numPr>
          <w:ilvl w:val="0"/>
          <w:numId w:val="7"/>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 xml:space="preserve">Ahora bien, el artículo 706 del Estatuto Tributario establece los casos en los cuales se suspende el término para notificar el requerimiento especial y por ende el término de firmeza de las declaraciones, así: i) cuando se practique inspección tributaria de oficio (3 meses), </w:t>
      </w:r>
      <w:proofErr w:type="spellStart"/>
      <w:r w:rsidRPr="007571CE">
        <w:rPr>
          <w:rFonts w:ascii="Verdana" w:eastAsia="Times New Roman" w:hAnsi="Verdana" w:cs="Times New Roman"/>
          <w:color w:val="000000"/>
          <w:kern w:val="0"/>
          <w:lang w:val="es-CO" w:eastAsia="es-MX"/>
          <w14:ligatures w14:val="none"/>
        </w:rPr>
        <w:t>ii</w:t>
      </w:r>
      <w:proofErr w:type="spellEnd"/>
      <w:r w:rsidRPr="007571CE">
        <w:rPr>
          <w:rFonts w:ascii="Verdana" w:eastAsia="Times New Roman" w:hAnsi="Verdana" w:cs="Times New Roman"/>
          <w:color w:val="000000"/>
          <w:kern w:val="0"/>
          <w:lang w:val="es-CO" w:eastAsia="es-MX"/>
          <w14:ligatures w14:val="none"/>
        </w:rPr>
        <w:t xml:space="preserve">) cuando se practique inspección tributaria a solicitud de parte (por el tiempo de duración de la inspección) y </w:t>
      </w:r>
      <w:proofErr w:type="spellStart"/>
      <w:r w:rsidRPr="007571CE">
        <w:rPr>
          <w:rFonts w:ascii="Verdana" w:eastAsia="Times New Roman" w:hAnsi="Verdana" w:cs="Times New Roman"/>
          <w:color w:val="000000"/>
          <w:kern w:val="0"/>
          <w:lang w:val="es-CO" w:eastAsia="es-MX"/>
          <w14:ligatures w14:val="none"/>
        </w:rPr>
        <w:t>iii</w:t>
      </w:r>
      <w:proofErr w:type="spellEnd"/>
      <w:r w:rsidRPr="007571CE">
        <w:rPr>
          <w:rFonts w:ascii="Verdana" w:eastAsia="Times New Roman" w:hAnsi="Verdana" w:cs="Times New Roman"/>
          <w:color w:val="000000"/>
          <w:kern w:val="0"/>
          <w:lang w:val="es-CO" w:eastAsia="es-MX"/>
          <w14:ligatures w14:val="none"/>
        </w:rPr>
        <w:t>) cuando se notifique emplazamiento para corregir (1 mes).</w:t>
      </w:r>
    </w:p>
    <w:p w14:paraId="1E49CC73"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lastRenderedPageBreak/>
        <w:br/>
      </w:r>
    </w:p>
    <w:p w14:paraId="103516F2" w14:textId="77777777" w:rsidR="007571CE" w:rsidRPr="007571CE" w:rsidRDefault="007571CE" w:rsidP="007571CE">
      <w:pPr>
        <w:numPr>
          <w:ilvl w:val="0"/>
          <w:numId w:val="8"/>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En este sentido, en el caso que tenga ocurrencia alguno de los motivos de suspensión respecto de la declaración de renta, por ejemplo, se profiera emplazamiento para corregir a la declaración de renta, se suspende el término de firmeza por 1 mes, esta suspensión se hace extensiva a las declaraciones de IVA y retención en la fuente de los periodos que coincidan con el mismo año gravable, de conformidad con lo dispuesto en el artículo 705-1 del Estatuto Tributario y a la sentencia de unificación del Consejo de Estado mencionada.</w:t>
      </w:r>
    </w:p>
    <w:p w14:paraId="5FBDFA1C"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1630E6DB" w14:textId="77777777" w:rsidR="007571CE" w:rsidRPr="007571CE" w:rsidRDefault="007571CE" w:rsidP="007571CE">
      <w:pPr>
        <w:numPr>
          <w:ilvl w:val="0"/>
          <w:numId w:val="9"/>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De lo contrario, si se suspende únicamente el término para proferir requerimiento especial en alguno de los periodos de las declaraciones de IVA o de retención en la fuente, el término de firmeza de la declaración de renta del mismo periodo gravable no se entiende suspendido, toda vez que el artículo 705-1 Estatuto Tributario supedita los términos para notificar el requerimiento especial del impuesto sobre las ventas y de retención en la fuente al término de firmeza de la declaración de renta y no al contrario.</w:t>
      </w:r>
    </w:p>
    <w:p w14:paraId="6D151B80"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5DCCE353" w14:textId="77777777" w:rsidR="007571CE" w:rsidRPr="007571CE" w:rsidRDefault="007571CE" w:rsidP="007571CE">
      <w:pPr>
        <w:numPr>
          <w:ilvl w:val="0"/>
          <w:numId w:val="10"/>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En este último caso, si procede la práctica de inspección tributaria de oficio o a solicitud de parte, o la notificación del emplazamiento para corregir en las declaraciones de IVA o retención en la fuente, la Administración Tributaria deberá expedir estas actuaciones antes de que adquiera firmeza la declaración de renta correspondiente al mismo periodo gravable. No obstante, la suspensión de términos operará únicamente y de manera exclusiva para la declaración de IVA o retención en la fuente, sin que sea posible hacerla extensiva a la declaración del Impuesto sobre la renta o a otros periodos de IVA o retención en la fuente del mismo año gravable, que no fueron suspendidos.</w:t>
      </w:r>
    </w:p>
    <w:p w14:paraId="1839E1AA"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7F92E98E" w14:textId="77777777" w:rsidR="007571CE" w:rsidRPr="007571CE" w:rsidRDefault="007571CE" w:rsidP="007571CE">
      <w:pPr>
        <w:numPr>
          <w:ilvl w:val="0"/>
          <w:numId w:val="11"/>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En este orden de ideas, se concluye que los casos de las suspensiones del artículo 706 del Estatuto Tributario, que se realicen respecto a la declaración de IVA y retención en la fuente, no modifican el término de firmeza de la declaración de renta del mismo periodo o año gravable.</w:t>
      </w:r>
    </w:p>
    <w:p w14:paraId="4216F2A2" w14:textId="77777777" w:rsidR="007571CE" w:rsidRPr="007571CE" w:rsidRDefault="007571CE" w:rsidP="007571CE">
      <w:pPr>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0567090C" w14:textId="0BB30C40" w:rsidR="007571CE" w:rsidRPr="007571CE" w:rsidRDefault="007571CE" w:rsidP="007571CE">
      <w:pPr>
        <w:numPr>
          <w:ilvl w:val="0"/>
          <w:numId w:val="12"/>
        </w:numPr>
        <w:jc w:val="both"/>
        <w:textAlignment w:val="baseline"/>
        <w:rPr>
          <w:rFonts w:ascii="Verdana" w:eastAsia="Times New Roman" w:hAnsi="Verdana" w:cs="Times New Roman"/>
          <w:color w:val="000000"/>
          <w:kern w:val="0"/>
          <w:lang w:val="es-CO" w:eastAsia="es-MX"/>
          <w14:ligatures w14:val="none"/>
        </w:rPr>
      </w:pPr>
      <w:r w:rsidRPr="007571CE">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w:t>
      </w:r>
      <w:r>
        <w:rPr>
          <w:rFonts w:ascii="Verdana" w:eastAsia="Times New Roman" w:hAnsi="Verdana" w:cs="Times New Roman"/>
          <w:color w:val="000000"/>
          <w:kern w:val="0"/>
          <w:lang w:val="es-CO" w:eastAsia="es-MX"/>
          <w14:ligatures w14:val="none"/>
        </w:rPr>
        <w:t xml:space="preserve"> </w:t>
      </w:r>
      <w:r w:rsidRPr="007571CE">
        <w:rPr>
          <w:rFonts w:ascii="Verdana" w:eastAsia="Times New Roman" w:hAnsi="Verdana" w:cs="Times New Roman"/>
          <w:color w:val="000000"/>
          <w:kern w:val="0"/>
          <w:lang w:val="es-CO" w:eastAsia="es-MX"/>
          <w14:ligatures w14:val="none"/>
        </w:rPr>
        <w:lastRenderedPageBreak/>
        <w:t xml:space="preserve">competencia  de  esta  Entidad,  puede  consultarse  en  el  normograma DIAN: </w:t>
      </w:r>
      <w:r w:rsidRPr="007571CE">
        <w:rPr>
          <w:rFonts w:ascii="Verdana" w:eastAsia="Times New Roman" w:hAnsi="Verdana" w:cs="Times New Roman"/>
          <w:color w:val="000000"/>
          <w:kern w:val="0"/>
          <w:u w:val="single"/>
          <w:lang w:val="es-CO" w:eastAsia="es-MX"/>
          <w14:ligatures w14:val="none"/>
        </w:rPr>
        <w:t>https://normograma.dian.gov.co/dian/</w:t>
      </w:r>
      <w:r w:rsidRPr="007571CE">
        <w:rPr>
          <w:rFonts w:ascii="Verdana" w:eastAsia="Times New Roman" w:hAnsi="Verdana" w:cs="Times New Roman"/>
          <w:color w:val="000000"/>
          <w:kern w:val="0"/>
          <w:lang w:val="es-CO" w:eastAsia="es-MX"/>
          <w14:ligatures w14:val="none"/>
        </w:rPr>
        <w:t>.</w:t>
      </w:r>
    </w:p>
    <w:p w14:paraId="5CD2BCD1" w14:textId="77777777" w:rsidR="007571CE" w:rsidRPr="007571CE" w:rsidRDefault="007571CE" w:rsidP="007571CE">
      <w:pPr>
        <w:spacing w:after="240"/>
        <w:rPr>
          <w:rFonts w:ascii="Times New Roman" w:eastAsia="Times New Roman" w:hAnsi="Times New Roman" w:cs="Times New Roman"/>
          <w:kern w:val="0"/>
          <w:lang w:val="es-CO" w:eastAsia="es-MX"/>
          <w14:ligatures w14:val="none"/>
        </w:rPr>
      </w:pPr>
    </w:p>
    <w:p w14:paraId="1BA28541"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Atentamente,</w:t>
      </w:r>
    </w:p>
    <w:p w14:paraId="44DED499" w14:textId="77777777" w:rsidR="007571CE" w:rsidRPr="007571CE" w:rsidRDefault="007571CE" w:rsidP="007571CE">
      <w:pPr>
        <w:spacing w:after="240"/>
        <w:rPr>
          <w:rFonts w:ascii="Times New Roman" w:eastAsia="Times New Roman" w:hAnsi="Times New Roman" w:cs="Times New Roman"/>
          <w:kern w:val="0"/>
          <w:lang w:val="es-CO" w:eastAsia="es-MX"/>
          <w14:ligatures w14:val="none"/>
        </w:rPr>
      </w:pPr>
      <w:r w:rsidRPr="007571CE">
        <w:rPr>
          <w:rFonts w:ascii="Times New Roman" w:eastAsia="Times New Roman" w:hAnsi="Times New Roman" w:cs="Times New Roman"/>
          <w:kern w:val="0"/>
          <w:lang w:val="es-CO" w:eastAsia="es-MX"/>
          <w14:ligatures w14:val="none"/>
        </w:rPr>
        <w:br/>
      </w:r>
    </w:p>
    <w:p w14:paraId="338EBE16"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b/>
          <w:bCs/>
          <w:color w:val="000000"/>
          <w:kern w:val="0"/>
          <w:lang w:val="es-CO" w:eastAsia="es-MX"/>
          <w14:ligatures w14:val="none"/>
        </w:rPr>
        <w:t>INGRID CASTAÑEDA CEPEDA</w:t>
      </w:r>
    </w:p>
    <w:p w14:paraId="061F16EE"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Subdirector de Normativa y Doctrina (A)</w:t>
      </w:r>
    </w:p>
    <w:p w14:paraId="71BF6021"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Dirección de Gestión Jurídica</w:t>
      </w:r>
    </w:p>
    <w:p w14:paraId="55D7D09E"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U.A.E. Dirección de Impuestos y Aduanas Nacionales – DIAN</w:t>
      </w:r>
    </w:p>
    <w:p w14:paraId="536B1630"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 xml:space="preserve">Dirección: </w:t>
      </w:r>
      <w:proofErr w:type="spellStart"/>
      <w:r w:rsidRPr="007571CE">
        <w:rPr>
          <w:rFonts w:ascii="Verdana" w:eastAsia="Times New Roman" w:hAnsi="Verdana" w:cs="Times New Roman"/>
          <w:color w:val="000000"/>
          <w:kern w:val="0"/>
          <w:lang w:val="es-CO" w:eastAsia="es-MX"/>
          <w14:ligatures w14:val="none"/>
        </w:rPr>
        <w:t>Cra</w:t>
      </w:r>
      <w:proofErr w:type="spellEnd"/>
      <w:r w:rsidRPr="007571CE">
        <w:rPr>
          <w:rFonts w:ascii="Verdana" w:eastAsia="Times New Roman" w:hAnsi="Verdana" w:cs="Times New Roman"/>
          <w:color w:val="000000"/>
          <w:kern w:val="0"/>
          <w:lang w:val="es-CO" w:eastAsia="es-MX"/>
          <w14:ligatures w14:val="none"/>
        </w:rPr>
        <w:t>. 8 # 6C-38 Edificio San Agustín - Piso 4</w:t>
      </w:r>
    </w:p>
    <w:p w14:paraId="4E3F12A4"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lang w:val="es-CO" w:eastAsia="es-MX"/>
          <w14:ligatures w14:val="none"/>
        </w:rPr>
        <w:t>Bogotá, D.C.</w:t>
      </w:r>
    </w:p>
    <w:p w14:paraId="64BB0A4C" w14:textId="77777777" w:rsidR="007571CE" w:rsidRPr="007571CE" w:rsidRDefault="007571CE" w:rsidP="007571CE">
      <w:pPr>
        <w:jc w:val="both"/>
        <w:rPr>
          <w:rFonts w:ascii="Times New Roman" w:eastAsia="Times New Roman" w:hAnsi="Times New Roman" w:cs="Times New Roman"/>
          <w:kern w:val="0"/>
          <w:lang w:val="es-CO" w:eastAsia="es-MX"/>
          <w14:ligatures w14:val="none"/>
        </w:rPr>
      </w:pPr>
      <w:r w:rsidRPr="007571CE">
        <w:rPr>
          <w:rFonts w:ascii="Verdana" w:eastAsia="Times New Roman" w:hAnsi="Verdana" w:cs="Times New Roman"/>
          <w:color w:val="000000"/>
          <w:kern w:val="0"/>
          <w:u w:val="single"/>
          <w:lang w:val="es-CO" w:eastAsia="es-MX"/>
          <w14:ligatures w14:val="none"/>
        </w:rPr>
        <w:t>www.dian.gov.co</w:t>
      </w:r>
    </w:p>
    <w:p w14:paraId="7686F4F3" w14:textId="77777777" w:rsidR="007571CE" w:rsidRPr="007571CE" w:rsidRDefault="007571CE" w:rsidP="007571CE">
      <w:pPr>
        <w:rPr>
          <w:rFonts w:ascii="Times New Roman" w:eastAsia="Times New Roman" w:hAnsi="Times New Roman" w:cs="Times New Roman"/>
          <w:kern w:val="0"/>
          <w:lang w:val="es-CO" w:eastAsia="es-MX"/>
          <w14:ligatures w14:val="none"/>
        </w:rPr>
      </w:pPr>
    </w:p>
    <w:p w14:paraId="5CBDFDD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638BA"/>
    <w:multiLevelType w:val="multilevel"/>
    <w:tmpl w:val="01266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1E6E97"/>
    <w:multiLevelType w:val="multilevel"/>
    <w:tmpl w:val="B26EC5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5D3C34"/>
    <w:multiLevelType w:val="multilevel"/>
    <w:tmpl w:val="9C2E2D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82C0123"/>
    <w:multiLevelType w:val="multilevel"/>
    <w:tmpl w:val="A84AAFB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0225F2"/>
    <w:multiLevelType w:val="multilevel"/>
    <w:tmpl w:val="FBB2983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DD52CD"/>
    <w:multiLevelType w:val="multilevel"/>
    <w:tmpl w:val="9C7849C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ED263EA"/>
    <w:multiLevelType w:val="multilevel"/>
    <w:tmpl w:val="9D6E26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C962CF"/>
    <w:multiLevelType w:val="multilevel"/>
    <w:tmpl w:val="FC12EE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2744DD"/>
    <w:multiLevelType w:val="multilevel"/>
    <w:tmpl w:val="36F492D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650911"/>
    <w:multiLevelType w:val="multilevel"/>
    <w:tmpl w:val="FC865F0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BF5A32"/>
    <w:multiLevelType w:val="multilevel"/>
    <w:tmpl w:val="F07AFDF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27C55D8"/>
    <w:multiLevelType w:val="multilevel"/>
    <w:tmpl w:val="0770B2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6596364">
    <w:abstractNumId w:val="0"/>
  </w:num>
  <w:num w:numId="2" w16cid:durableId="1195582836">
    <w:abstractNumId w:val="6"/>
    <w:lvlOverride w:ilvl="0">
      <w:lvl w:ilvl="0">
        <w:numFmt w:val="decimal"/>
        <w:lvlText w:val="%1."/>
        <w:lvlJc w:val="left"/>
      </w:lvl>
    </w:lvlOverride>
  </w:num>
  <w:num w:numId="3" w16cid:durableId="1512187214">
    <w:abstractNumId w:val="1"/>
    <w:lvlOverride w:ilvl="0">
      <w:lvl w:ilvl="0">
        <w:numFmt w:val="decimal"/>
        <w:lvlText w:val="%1."/>
        <w:lvlJc w:val="left"/>
      </w:lvl>
    </w:lvlOverride>
  </w:num>
  <w:num w:numId="4" w16cid:durableId="1992051510">
    <w:abstractNumId w:val="3"/>
    <w:lvlOverride w:ilvl="0">
      <w:lvl w:ilvl="0">
        <w:numFmt w:val="decimal"/>
        <w:lvlText w:val="%1."/>
        <w:lvlJc w:val="left"/>
      </w:lvl>
    </w:lvlOverride>
  </w:num>
  <w:num w:numId="5" w16cid:durableId="1815289260">
    <w:abstractNumId w:val="5"/>
    <w:lvlOverride w:ilvl="0">
      <w:lvl w:ilvl="0">
        <w:numFmt w:val="decimal"/>
        <w:lvlText w:val="%1."/>
        <w:lvlJc w:val="left"/>
      </w:lvl>
    </w:lvlOverride>
  </w:num>
  <w:num w:numId="6" w16cid:durableId="1845512268">
    <w:abstractNumId w:val="9"/>
    <w:lvlOverride w:ilvl="0">
      <w:lvl w:ilvl="0">
        <w:numFmt w:val="decimal"/>
        <w:lvlText w:val="%1."/>
        <w:lvlJc w:val="left"/>
      </w:lvl>
    </w:lvlOverride>
  </w:num>
  <w:num w:numId="7" w16cid:durableId="1532644446">
    <w:abstractNumId w:val="11"/>
    <w:lvlOverride w:ilvl="0">
      <w:lvl w:ilvl="0">
        <w:numFmt w:val="decimal"/>
        <w:lvlText w:val="%1."/>
        <w:lvlJc w:val="left"/>
      </w:lvl>
    </w:lvlOverride>
  </w:num>
  <w:num w:numId="8" w16cid:durableId="792946789">
    <w:abstractNumId w:val="2"/>
    <w:lvlOverride w:ilvl="0">
      <w:lvl w:ilvl="0">
        <w:numFmt w:val="decimal"/>
        <w:lvlText w:val="%1."/>
        <w:lvlJc w:val="left"/>
      </w:lvl>
    </w:lvlOverride>
  </w:num>
  <w:num w:numId="9" w16cid:durableId="178200977">
    <w:abstractNumId w:val="10"/>
    <w:lvlOverride w:ilvl="0">
      <w:lvl w:ilvl="0">
        <w:numFmt w:val="decimal"/>
        <w:lvlText w:val="%1."/>
        <w:lvlJc w:val="left"/>
      </w:lvl>
    </w:lvlOverride>
  </w:num>
  <w:num w:numId="10" w16cid:durableId="270673320">
    <w:abstractNumId w:val="7"/>
    <w:lvlOverride w:ilvl="0">
      <w:lvl w:ilvl="0">
        <w:numFmt w:val="decimal"/>
        <w:lvlText w:val="%1."/>
        <w:lvlJc w:val="left"/>
      </w:lvl>
    </w:lvlOverride>
  </w:num>
  <w:num w:numId="11" w16cid:durableId="1583950616">
    <w:abstractNumId w:val="4"/>
    <w:lvlOverride w:ilvl="0">
      <w:lvl w:ilvl="0">
        <w:numFmt w:val="decimal"/>
        <w:lvlText w:val="%1."/>
        <w:lvlJc w:val="left"/>
      </w:lvl>
    </w:lvlOverride>
  </w:num>
  <w:num w:numId="12" w16cid:durableId="642781846">
    <w:abstractNumId w:val="8"/>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1CE"/>
    <w:rsid w:val="000B2285"/>
    <w:rsid w:val="00284D72"/>
    <w:rsid w:val="00537D8F"/>
    <w:rsid w:val="007571C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F620307"/>
  <w14:defaultImageDpi w14:val="32767"/>
  <w15:chartTrackingRefBased/>
  <w15:docId w15:val="{AAE6B01B-5B03-054C-BABF-E2852ECD7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571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571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571C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571C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571C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571C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571C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571C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571C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571C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571C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571C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571C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571C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571C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571C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571C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571CE"/>
    <w:rPr>
      <w:rFonts w:eastAsiaTheme="majorEastAsia" w:cstheme="majorBidi"/>
      <w:color w:val="272727" w:themeColor="text1" w:themeTint="D8"/>
    </w:rPr>
  </w:style>
  <w:style w:type="paragraph" w:styleId="Ttulo">
    <w:name w:val="Title"/>
    <w:basedOn w:val="Normal"/>
    <w:next w:val="Normal"/>
    <w:link w:val="TtuloCar"/>
    <w:uiPriority w:val="10"/>
    <w:qFormat/>
    <w:rsid w:val="007571C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71C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71C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571C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571C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571CE"/>
    <w:rPr>
      <w:i/>
      <w:iCs/>
      <w:color w:val="404040" w:themeColor="text1" w:themeTint="BF"/>
    </w:rPr>
  </w:style>
  <w:style w:type="paragraph" w:styleId="Prrafodelista">
    <w:name w:val="List Paragraph"/>
    <w:basedOn w:val="Normal"/>
    <w:uiPriority w:val="34"/>
    <w:qFormat/>
    <w:rsid w:val="007571CE"/>
    <w:pPr>
      <w:ind w:left="720"/>
      <w:contextualSpacing/>
    </w:pPr>
  </w:style>
  <w:style w:type="character" w:styleId="nfasisintenso">
    <w:name w:val="Intense Emphasis"/>
    <w:basedOn w:val="Fuentedeprrafopredeter"/>
    <w:uiPriority w:val="21"/>
    <w:qFormat/>
    <w:rsid w:val="007571CE"/>
    <w:rPr>
      <w:i/>
      <w:iCs/>
      <w:color w:val="2F5496" w:themeColor="accent1" w:themeShade="BF"/>
    </w:rPr>
  </w:style>
  <w:style w:type="paragraph" w:styleId="Citadestacada">
    <w:name w:val="Intense Quote"/>
    <w:basedOn w:val="Normal"/>
    <w:next w:val="Normal"/>
    <w:link w:val="CitadestacadaCar"/>
    <w:uiPriority w:val="30"/>
    <w:qFormat/>
    <w:rsid w:val="007571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571CE"/>
    <w:rPr>
      <w:i/>
      <w:iCs/>
      <w:color w:val="2F5496" w:themeColor="accent1" w:themeShade="BF"/>
    </w:rPr>
  </w:style>
  <w:style w:type="character" w:styleId="Referenciaintensa">
    <w:name w:val="Intense Reference"/>
    <w:basedOn w:val="Fuentedeprrafopredeter"/>
    <w:uiPriority w:val="32"/>
    <w:qFormat/>
    <w:rsid w:val="007571CE"/>
    <w:rPr>
      <w:b/>
      <w:bCs/>
      <w:smallCaps/>
      <w:color w:val="2F5496" w:themeColor="accent1" w:themeShade="BF"/>
      <w:spacing w:val="5"/>
    </w:rPr>
  </w:style>
  <w:style w:type="paragraph" w:styleId="NormalWeb">
    <w:name w:val="Normal (Web)"/>
    <w:basedOn w:val="Normal"/>
    <w:uiPriority w:val="99"/>
    <w:semiHidden/>
    <w:unhideWhenUsed/>
    <w:rsid w:val="007571C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7571CE"/>
  </w:style>
  <w:style w:type="character" w:styleId="Hipervnculo">
    <w:name w:val="Hyperlink"/>
    <w:basedOn w:val="Fuentedeprrafopredeter"/>
    <w:uiPriority w:val="99"/>
    <w:semiHidden/>
    <w:unhideWhenUsed/>
    <w:rsid w:val="007571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ecretariasenado.gov.co/senado/basedoc/estatuto_tributario_pr028.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cretariasenado.gov.co/senado/basedoc/estatuto_tributario.html" TargetMode="External"/><Relationship Id="rId5" Type="http://schemas.openxmlformats.org/officeDocument/2006/relationships/hyperlink" Target="http://www.secretariasenado.gov.co/senado/basedoc/estatuto_tributario_pr029.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1050</Words>
  <Characters>5777</Characters>
  <Application>Microsoft Office Word</Application>
  <DocSecurity>0</DocSecurity>
  <Lines>48</Lines>
  <Paragraphs>13</Paragraphs>
  <ScaleCrop>false</ScaleCrop>
  <Company/>
  <LinksUpToDate>false</LinksUpToDate>
  <CharactersWithSpaces>6814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2025-10-07T19:56:00Z</dcterms:created>
  <dcterms:modified xsi:type="dcterms:W3CDTF">2025-10-07T19:57:00Z</dcterms:modified>
</cp:coreProperties>
</file>