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F9ED2"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b/>
          <w:bCs/>
          <w:color w:val="000000"/>
          <w:kern w:val="0"/>
          <w:lang w:val="es-CO" w:eastAsia="es-MX"/>
          <w14:ligatures w14:val="none"/>
        </w:rPr>
        <w:t>CONCEPTO DIAN 1150 DEL 30 DE JULIO DE 2025</w:t>
      </w:r>
    </w:p>
    <w:p w14:paraId="2D4CD5CD"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b/>
          <w:bCs/>
          <w:color w:val="000000"/>
          <w:kern w:val="0"/>
          <w:lang w:val="es-CO" w:eastAsia="es-MX"/>
          <w14:ligatures w14:val="none"/>
        </w:rPr>
        <w:t>DIRECCIÓN DE IMPUESTOS Y ADUANAS NACIONALES</w:t>
      </w:r>
    </w:p>
    <w:p w14:paraId="77B2E885" w14:textId="77777777" w:rsidR="00875098" w:rsidRPr="00875098" w:rsidRDefault="00875098" w:rsidP="00875098">
      <w:pPr>
        <w:rPr>
          <w:rFonts w:ascii="Times New Roman" w:eastAsia="Times New Roman" w:hAnsi="Times New Roman" w:cs="Times New Roman"/>
          <w:kern w:val="0"/>
          <w:lang w:val="es-CO" w:eastAsia="es-MX"/>
          <w14:ligatures w14:val="none"/>
        </w:rPr>
      </w:pPr>
    </w:p>
    <w:p w14:paraId="258F285C"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Tema:</w:t>
      </w:r>
      <w:r w:rsidRPr="00875098">
        <w:rPr>
          <w:rFonts w:ascii="Verdana" w:eastAsia="Times New Roman" w:hAnsi="Verdana" w:cs="Times New Roman"/>
          <w:color w:val="000000"/>
          <w:kern w:val="0"/>
          <w:lang w:val="es-CO" w:eastAsia="es-MX"/>
          <w14:ligatures w14:val="none"/>
        </w:rPr>
        <w:tab/>
        <w:t>Derecho tributario internacional</w:t>
      </w:r>
    </w:p>
    <w:p w14:paraId="000C166F" w14:textId="77777777" w:rsidR="00875098" w:rsidRPr="00875098" w:rsidRDefault="00875098" w:rsidP="00875098">
      <w:pPr>
        <w:ind w:hanging="2268"/>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ab/>
        <w:t>Convención sobre Asistencia Administrativa Mutua en Materia Fiscal (MAAC)</w:t>
      </w:r>
    </w:p>
    <w:p w14:paraId="0A5FBED6" w14:textId="77777777" w:rsidR="00875098" w:rsidRDefault="00875098" w:rsidP="00875098">
      <w:pPr>
        <w:jc w:val="both"/>
        <w:rPr>
          <w:rFonts w:ascii="Verdana" w:eastAsia="Times New Roman" w:hAnsi="Verdana" w:cs="Times New Roman"/>
          <w:color w:val="000000"/>
          <w:kern w:val="0"/>
          <w:lang w:val="es-CO" w:eastAsia="es-MX"/>
          <w14:ligatures w14:val="none"/>
        </w:rPr>
      </w:pPr>
    </w:p>
    <w:p w14:paraId="0B04068A" w14:textId="77777777" w:rsidR="00875098" w:rsidRDefault="00875098" w:rsidP="00875098">
      <w:pPr>
        <w:jc w:val="both"/>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Descriptores:</w:t>
      </w:r>
      <w:r w:rsidRPr="00875098">
        <w:rPr>
          <w:rFonts w:ascii="Verdana" w:eastAsia="Times New Roman" w:hAnsi="Verdana" w:cs="Times New Roman"/>
          <w:color w:val="000000"/>
          <w:kern w:val="0"/>
          <w:lang w:val="es-CO" w:eastAsia="es-MX"/>
          <w14:ligatures w14:val="none"/>
        </w:rPr>
        <w:tab/>
      </w:r>
    </w:p>
    <w:p w14:paraId="01279D88" w14:textId="77777777" w:rsidR="00875098" w:rsidRDefault="00875098" w:rsidP="00875098">
      <w:pPr>
        <w:jc w:val="both"/>
        <w:rPr>
          <w:rFonts w:ascii="Verdana" w:eastAsia="Times New Roman" w:hAnsi="Verdana" w:cs="Times New Roman"/>
          <w:color w:val="000000"/>
          <w:kern w:val="0"/>
          <w:lang w:val="es-CO" w:eastAsia="es-MX"/>
          <w14:ligatures w14:val="none"/>
        </w:rPr>
      </w:pPr>
    </w:p>
    <w:p w14:paraId="6AC55EF6" w14:textId="347B8199"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Asistencia administrativa mutua en materia fiscal Reservas a tratados internacionales</w:t>
      </w:r>
    </w:p>
    <w:p w14:paraId="30D8FDE1" w14:textId="77777777" w:rsidR="00875098" w:rsidRPr="00875098" w:rsidRDefault="00875098" w:rsidP="00875098">
      <w:pPr>
        <w:ind w:hanging="2268"/>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ab/>
        <w:t>Cobro internacional de créditos fiscales</w:t>
      </w:r>
    </w:p>
    <w:p w14:paraId="0F906141" w14:textId="77777777" w:rsidR="00875098" w:rsidRPr="00875098" w:rsidRDefault="00875098" w:rsidP="00875098">
      <w:pPr>
        <w:ind w:hanging="2268"/>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ab/>
        <w:t>Facultades discrecionales de cooperación internacional</w:t>
      </w:r>
    </w:p>
    <w:p w14:paraId="34346A19" w14:textId="77777777" w:rsidR="00875098" w:rsidRDefault="00875098" w:rsidP="00875098">
      <w:pPr>
        <w:jc w:val="both"/>
        <w:rPr>
          <w:rFonts w:ascii="Verdana" w:eastAsia="Times New Roman" w:hAnsi="Verdana" w:cs="Times New Roman"/>
          <w:color w:val="000000"/>
          <w:kern w:val="0"/>
          <w:lang w:val="es-CO" w:eastAsia="es-MX"/>
          <w14:ligatures w14:val="none"/>
        </w:rPr>
      </w:pPr>
    </w:p>
    <w:p w14:paraId="294DE2A5" w14:textId="77777777" w:rsidR="00875098" w:rsidRDefault="00875098" w:rsidP="00875098">
      <w:pPr>
        <w:jc w:val="both"/>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Fuentes formales:</w:t>
      </w:r>
      <w:r w:rsidRPr="00875098">
        <w:rPr>
          <w:rFonts w:ascii="Verdana" w:eastAsia="Times New Roman" w:hAnsi="Verdana" w:cs="Times New Roman"/>
          <w:color w:val="000000"/>
          <w:kern w:val="0"/>
          <w:lang w:val="es-CO" w:eastAsia="es-MX"/>
          <w14:ligatures w14:val="none"/>
        </w:rPr>
        <w:tab/>
      </w:r>
    </w:p>
    <w:p w14:paraId="15509E1A" w14:textId="77777777" w:rsidR="00875098" w:rsidRDefault="00875098" w:rsidP="00875098">
      <w:pPr>
        <w:jc w:val="both"/>
        <w:rPr>
          <w:rFonts w:ascii="Verdana" w:eastAsia="Times New Roman" w:hAnsi="Verdana" w:cs="Times New Roman"/>
          <w:color w:val="000000"/>
          <w:kern w:val="0"/>
          <w:lang w:val="es-CO" w:eastAsia="es-MX"/>
          <w14:ligatures w14:val="none"/>
        </w:rPr>
      </w:pPr>
    </w:p>
    <w:p w14:paraId="30EFBD27" w14:textId="2BFC9E46"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Convención sobre Asistencia Administrativa Mutua en Materia Fiscal (MAAC), Consejo de Europa y OCDE, 1988.</w:t>
      </w:r>
    </w:p>
    <w:p w14:paraId="78384008" w14:textId="77777777" w:rsidR="00875098" w:rsidRPr="00875098" w:rsidRDefault="00875098" w:rsidP="00875098">
      <w:pPr>
        <w:ind w:hanging="2268"/>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ab/>
        <w:t>Ley 1661 de 2013, por medio de la cual se aprueba la MAAC. Instrumento de adhesión de Colombia a la MAAC, con reservas notificadas el 28 de mayo de 2014.</w:t>
      </w:r>
    </w:p>
    <w:p w14:paraId="20FD5BF5" w14:textId="77777777" w:rsidR="00875098" w:rsidRPr="00875098" w:rsidRDefault="00875098" w:rsidP="00875098">
      <w:pPr>
        <w:ind w:hanging="2268"/>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ab/>
        <w:t>Convención de Viena sobre el Derecho de los Tratados, Naciones Unidas, 1969, artículos 19 a 23.</w:t>
      </w:r>
    </w:p>
    <w:p w14:paraId="32BD92CE" w14:textId="77777777" w:rsidR="00875098" w:rsidRPr="00875098" w:rsidRDefault="00875098" w:rsidP="00875098">
      <w:pPr>
        <w:ind w:hanging="2268"/>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ab/>
        <w:t>Informe Explicativo Revisado de la Convención MAAC, OCDE y Consejo de Europa, 2010.</w:t>
      </w:r>
    </w:p>
    <w:p w14:paraId="2DB5C9A5" w14:textId="77777777" w:rsidR="00875098" w:rsidRPr="00875098" w:rsidRDefault="00875098" w:rsidP="00875098">
      <w:pPr>
        <w:ind w:hanging="2268"/>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ab/>
        <w:t>Guía de la OCDE sobre el Convenio sobre asistencia mutua administrativa en materia fiscal.</w:t>
      </w:r>
    </w:p>
    <w:p w14:paraId="32058C7E" w14:textId="77777777" w:rsidR="00875098" w:rsidRPr="00875098" w:rsidRDefault="00875098" w:rsidP="00875098">
      <w:pPr>
        <w:rPr>
          <w:rFonts w:ascii="Times New Roman" w:eastAsia="Times New Roman" w:hAnsi="Times New Roman" w:cs="Times New Roman"/>
          <w:kern w:val="0"/>
          <w:lang w:val="es-CO" w:eastAsia="es-MX"/>
          <w14:ligatures w14:val="none"/>
        </w:rPr>
      </w:pPr>
    </w:p>
    <w:p w14:paraId="19EB978A"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Cordial saludo,</w:t>
      </w:r>
    </w:p>
    <w:p w14:paraId="7E2153D5"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5F9A1640" w14:textId="77777777" w:rsidR="00875098" w:rsidRPr="00875098" w:rsidRDefault="00875098" w:rsidP="00875098">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w:t>
      </w:r>
      <w:r w:rsidRPr="00875098">
        <w:rPr>
          <w:rFonts w:ascii="Verdana" w:eastAsia="Times New Roman" w:hAnsi="Verdana" w:cs="Times New Roman"/>
          <w:color w:val="000000"/>
          <w:kern w:val="0"/>
          <w:sz w:val="14"/>
          <w:szCs w:val="14"/>
          <w:vertAlign w:val="superscript"/>
          <w:lang w:val="es-CO" w:eastAsia="es-MX"/>
          <w14:ligatures w14:val="none"/>
        </w:rPr>
        <w:t>1</w:t>
      </w:r>
      <w:r w:rsidRPr="00875098">
        <w:rPr>
          <w:rFonts w:ascii="Verdana" w:eastAsia="Times New Roman" w:hAnsi="Verdana" w:cs="Times New Roman"/>
          <w:color w:val="000000"/>
          <w:kern w:val="0"/>
          <w:lang w:val="es-CO" w:eastAsia="es-MX"/>
          <w14:ligatures w14:val="none"/>
        </w:rPr>
        <w:t>. En este sentido, la doctrina emitida será de carácter general, no se referirá a asuntos particulares y se someterá a lo consagrado en el artículo 131 de la Ley 2010 de 2019</w:t>
      </w:r>
      <w:r w:rsidRPr="00875098">
        <w:rPr>
          <w:rFonts w:ascii="Verdana" w:eastAsia="Times New Roman" w:hAnsi="Verdana" w:cs="Times New Roman"/>
          <w:color w:val="000000"/>
          <w:kern w:val="0"/>
          <w:sz w:val="14"/>
          <w:szCs w:val="14"/>
          <w:vertAlign w:val="superscript"/>
          <w:lang w:val="es-CO" w:eastAsia="es-MX"/>
          <w14:ligatures w14:val="none"/>
        </w:rPr>
        <w:t>2</w:t>
      </w:r>
      <w:r w:rsidRPr="00875098">
        <w:rPr>
          <w:rFonts w:ascii="Verdana" w:eastAsia="Times New Roman" w:hAnsi="Verdana" w:cs="Times New Roman"/>
          <w:color w:val="000000"/>
          <w:kern w:val="0"/>
          <w:lang w:val="es-CO" w:eastAsia="es-MX"/>
          <w14:ligatures w14:val="none"/>
        </w:rPr>
        <w:t>.</w:t>
      </w:r>
    </w:p>
    <w:p w14:paraId="35548977" w14:textId="77777777" w:rsidR="00875098" w:rsidRPr="00875098" w:rsidRDefault="00875098" w:rsidP="00875098">
      <w:pPr>
        <w:rPr>
          <w:rFonts w:ascii="Times New Roman" w:eastAsia="Times New Roman" w:hAnsi="Times New Roman" w:cs="Times New Roman"/>
          <w:kern w:val="0"/>
          <w:lang w:val="es-CO" w:eastAsia="es-MX"/>
          <w14:ligatures w14:val="none"/>
        </w:rPr>
      </w:pPr>
    </w:p>
    <w:p w14:paraId="072A6982" w14:textId="77777777" w:rsidR="00875098" w:rsidRPr="00875098" w:rsidRDefault="00875098" w:rsidP="00875098">
      <w:pPr>
        <w:jc w:val="both"/>
        <w:outlineLvl w:val="0"/>
        <w:rPr>
          <w:rFonts w:ascii="Times New Roman" w:eastAsia="Times New Roman" w:hAnsi="Times New Roman" w:cs="Times New Roman"/>
          <w:b/>
          <w:bCs/>
          <w:kern w:val="36"/>
          <w:sz w:val="48"/>
          <w:szCs w:val="48"/>
          <w:lang w:val="es-CO" w:eastAsia="es-MX"/>
          <w14:ligatures w14:val="none"/>
        </w:rPr>
      </w:pPr>
      <w:r w:rsidRPr="00875098">
        <w:rPr>
          <w:rFonts w:ascii="Verdana" w:eastAsia="Times New Roman" w:hAnsi="Verdana" w:cs="Times New Roman"/>
          <w:b/>
          <w:bCs/>
          <w:color w:val="000000"/>
          <w:kern w:val="36"/>
          <w:lang w:val="es-CO" w:eastAsia="es-MX"/>
          <w14:ligatures w14:val="none"/>
        </w:rPr>
        <w:t>PROBLEMA JURÍDICO</w:t>
      </w:r>
    </w:p>
    <w:p w14:paraId="011E5A73"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0480A66D" w14:textId="77777777" w:rsidR="00875098" w:rsidRPr="00875098" w:rsidRDefault="00875098" w:rsidP="00875098">
      <w:pPr>
        <w:numPr>
          <w:ilvl w:val="0"/>
          <w:numId w:val="2"/>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 xml:space="preserve">¿La reserva formulada por Colombia al artículo 30(1)(b) de la Convención sobre Asistencia Administrativa Mutua en Materia Fiscal (MAAC, por sus siglas en inglés) implica un rechazo automático y general </w:t>
      </w:r>
      <w:r w:rsidRPr="00875098">
        <w:rPr>
          <w:rFonts w:ascii="Verdana" w:eastAsia="Times New Roman" w:hAnsi="Verdana" w:cs="Times New Roman"/>
          <w:color w:val="000000"/>
          <w:kern w:val="0"/>
          <w:lang w:val="es-CO" w:eastAsia="es-MX"/>
          <w14:ligatures w14:val="none"/>
        </w:rPr>
        <w:lastRenderedPageBreak/>
        <w:t>a cualquier solicitud de asistencia en el cobro de impuestos y multas administrativas por parte de otros Estados Parte, o debe ser interpretada caso por caso según cada solicitud recibida?</w:t>
      </w:r>
    </w:p>
    <w:p w14:paraId="567D635D" w14:textId="77777777" w:rsidR="00875098" w:rsidRPr="00875098" w:rsidRDefault="00875098" w:rsidP="00875098">
      <w:pPr>
        <w:rPr>
          <w:rFonts w:ascii="Times New Roman" w:eastAsia="Times New Roman" w:hAnsi="Times New Roman" w:cs="Times New Roman"/>
          <w:kern w:val="0"/>
          <w:lang w:val="es-CO" w:eastAsia="es-MX"/>
          <w14:ligatures w14:val="none"/>
        </w:rPr>
      </w:pPr>
    </w:p>
    <w:p w14:paraId="2359BBDE" w14:textId="77777777" w:rsidR="00875098" w:rsidRPr="00875098" w:rsidRDefault="00875098" w:rsidP="00875098">
      <w:pPr>
        <w:jc w:val="both"/>
        <w:outlineLvl w:val="0"/>
        <w:rPr>
          <w:rFonts w:ascii="Times New Roman" w:eastAsia="Times New Roman" w:hAnsi="Times New Roman" w:cs="Times New Roman"/>
          <w:b/>
          <w:bCs/>
          <w:kern w:val="36"/>
          <w:sz w:val="48"/>
          <w:szCs w:val="48"/>
          <w:lang w:val="es-CO" w:eastAsia="es-MX"/>
          <w14:ligatures w14:val="none"/>
        </w:rPr>
      </w:pPr>
      <w:r w:rsidRPr="00875098">
        <w:rPr>
          <w:rFonts w:ascii="Verdana" w:eastAsia="Times New Roman" w:hAnsi="Verdana" w:cs="Times New Roman"/>
          <w:b/>
          <w:bCs/>
          <w:color w:val="000000"/>
          <w:kern w:val="36"/>
          <w:lang w:val="es-CO" w:eastAsia="es-MX"/>
          <w14:ligatures w14:val="none"/>
        </w:rPr>
        <w:t>TESIS JURÍDICA</w:t>
      </w:r>
    </w:p>
    <w:p w14:paraId="4489040C"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576D1660" w14:textId="77777777" w:rsidR="00875098" w:rsidRPr="00875098" w:rsidRDefault="00875098" w:rsidP="00875098">
      <w:pPr>
        <w:numPr>
          <w:ilvl w:val="0"/>
          <w:numId w:val="3"/>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La reserva formulada por Colombia al artículo 30(1)(b) de la MAAC, excluye de manera automática y general la obligación del país de prestar asistencia en el cobro de créditos fiscales y multas administrativas de otros Estados Parte.</w:t>
      </w:r>
    </w:p>
    <w:p w14:paraId="0F004ECC"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19DBAD7F" w14:textId="77777777" w:rsidR="00875098" w:rsidRPr="00875098" w:rsidRDefault="00875098" w:rsidP="00875098">
      <w:pPr>
        <w:numPr>
          <w:ilvl w:val="0"/>
          <w:numId w:val="4"/>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Esta exclusión opera en virtud del derecho internacional de los tratados y de las reglas específicas de la MAAC, sin requerir un análisis casuístico, y produce efectos recíprocos. No obstante, la reserva no impide que Colombia, si así lo decide, coopere en casos particulares voluntariamente y en el marco de su legislación interna.</w:t>
      </w:r>
    </w:p>
    <w:p w14:paraId="1B9B9C42" w14:textId="77777777" w:rsidR="00875098" w:rsidRPr="00875098" w:rsidRDefault="00875098" w:rsidP="00875098">
      <w:pPr>
        <w:rPr>
          <w:rFonts w:ascii="Times New Roman" w:eastAsia="Times New Roman" w:hAnsi="Times New Roman" w:cs="Times New Roman"/>
          <w:kern w:val="0"/>
          <w:lang w:val="es-CO" w:eastAsia="es-MX"/>
          <w14:ligatures w14:val="none"/>
        </w:rPr>
      </w:pPr>
    </w:p>
    <w:p w14:paraId="299E53BC" w14:textId="77777777" w:rsidR="00875098" w:rsidRDefault="00875098" w:rsidP="00875098">
      <w:pPr>
        <w:jc w:val="both"/>
        <w:outlineLvl w:val="0"/>
        <w:rPr>
          <w:rFonts w:ascii="Verdana" w:eastAsia="Times New Roman" w:hAnsi="Verdana" w:cs="Times New Roman"/>
          <w:b/>
          <w:bCs/>
          <w:color w:val="000000"/>
          <w:kern w:val="36"/>
          <w:lang w:val="es-CO" w:eastAsia="es-MX"/>
          <w14:ligatures w14:val="none"/>
        </w:rPr>
      </w:pPr>
    </w:p>
    <w:p w14:paraId="3BC64F84" w14:textId="67D320CD" w:rsidR="00875098" w:rsidRPr="00875098" w:rsidRDefault="00875098" w:rsidP="00875098">
      <w:pPr>
        <w:jc w:val="both"/>
        <w:outlineLvl w:val="0"/>
        <w:rPr>
          <w:rFonts w:ascii="Times New Roman" w:eastAsia="Times New Roman" w:hAnsi="Times New Roman" w:cs="Times New Roman"/>
          <w:b/>
          <w:bCs/>
          <w:kern w:val="36"/>
          <w:sz w:val="48"/>
          <w:szCs w:val="48"/>
          <w:lang w:val="es-CO" w:eastAsia="es-MX"/>
          <w14:ligatures w14:val="none"/>
        </w:rPr>
      </w:pPr>
      <w:r w:rsidRPr="00875098">
        <w:rPr>
          <w:rFonts w:ascii="Verdana" w:eastAsia="Times New Roman" w:hAnsi="Verdana" w:cs="Times New Roman"/>
          <w:b/>
          <w:bCs/>
          <w:color w:val="000000"/>
          <w:kern w:val="36"/>
          <w:lang w:val="es-CO" w:eastAsia="es-MX"/>
          <w14:ligatures w14:val="none"/>
        </w:rPr>
        <w:t>FUNDAMENTACIÓN</w:t>
      </w:r>
    </w:p>
    <w:p w14:paraId="41E555FE"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1620BF5A" w14:textId="77777777" w:rsidR="00875098" w:rsidRPr="00875098" w:rsidRDefault="00875098" w:rsidP="00875098">
      <w:pPr>
        <w:numPr>
          <w:ilvl w:val="0"/>
          <w:numId w:val="5"/>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La Convención sobre Asistencia Administrativa Mutua en Materia Fiscal (MAAC) es un instrumento multilateral adoptado en 1988 por el Consejo de Europa y la OCDE, cuyo objetivo es fortalecer la cooperación administrativa entre los Estados en materia fiscal.</w:t>
      </w:r>
    </w:p>
    <w:p w14:paraId="01599D84"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65FC7ECF" w14:textId="77777777" w:rsidR="00875098" w:rsidRPr="00875098" w:rsidRDefault="00875098" w:rsidP="00875098">
      <w:pPr>
        <w:numPr>
          <w:ilvl w:val="0"/>
          <w:numId w:val="6"/>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En su artículo 30, la MAAC permite a los Estados formular reservas expresas y limitadas sobre determinadas obligaciones, entre ellas, la asistencia en el cobro de créditos fiscales y multas administrativas.</w:t>
      </w:r>
    </w:p>
    <w:p w14:paraId="2299AB56"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7C4EC2E7" w14:textId="77777777" w:rsidR="00875098" w:rsidRPr="00875098" w:rsidRDefault="00875098" w:rsidP="00875098">
      <w:pPr>
        <w:numPr>
          <w:ilvl w:val="0"/>
          <w:numId w:val="7"/>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La reserva del artículo 30(1)(b) permite a los Estados declarar que no prestarán asistencia en cobro, sea para todos los impuestos o para ciertas categorías de impuestos</w:t>
      </w:r>
      <w:r w:rsidRPr="00875098">
        <w:rPr>
          <w:rFonts w:ascii="Verdana" w:eastAsia="Times New Roman" w:hAnsi="Verdana" w:cs="Times New Roman"/>
          <w:color w:val="000000"/>
          <w:kern w:val="0"/>
          <w:sz w:val="14"/>
          <w:szCs w:val="14"/>
          <w:vertAlign w:val="superscript"/>
          <w:lang w:val="es-CO" w:eastAsia="es-MX"/>
          <w14:ligatures w14:val="none"/>
        </w:rPr>
        <w:t>3</w:t>
      </w:r>
      <w:r w:rsidRPr="00875098">
        <w:rPr>
          <w:rFonts w:ascii="Verdana" w:eastAsia="Times New Roman" w:hAnsi="Verdana" w:cs="Times New Roman"/>
          <w:color w:val="000000"/>
          <w:kern w:val="0"/>
          <w:lang w:val="es-CO" w:eastAsia="es-MX"/>
          <w14:ligatures w14:val="none"/>
        </w:rPr>
        <w:t>.</w:t>
      </w:r>
    </w:p>
    <w:p w14:paraId="74980EC0"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087ADF1A" w14:textId="77777777" w:rsidR="00875098" w:rsidRPr="00875098" w:rsidRDefault="00875098" w:rsidP="00875098">
      <w:pPr>
        <w:numPr>
          <w:ilvl w:val="0"/>
          <w:numId w:val="8"/>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Colombia, al momento de adherir a la MAAC en 2014, formuló esta reserva en términos amplios, manifestando que no otorgará asistencia en el cobro para ningún impuesto. Esta declaración fue debidamente notificada a los depositarios (Consejo de Europa y OCDE) y se encuentra registrada públicamente</w:t>
      </w:r>
      <w:r w:rsidRPr="00875098">
        <w:rPr>
          <w:rFonts w:ascii="Verdana" w:eastAsia="Times New Roman" w:hAnsi="Verdana" w:cs="Times New Roman"/>
          <w:color w:val="000000"/>
          <w:kern w:val="0"/>
          <w:sz w:val="14"/>
          <w:szCs w:val="14"/>
          <w:vertAlign w:val="superscript"/>
          <w:lang w:val="es-CO" w:eastAsia="es-MX"/>
          <w14:ligatures w14:val="none"/>
        </w:rPr>
        <w:t>4</w:t>
      </w:r>
      <w:r w:rsidRPr="00875098">
        <w:rPr>
          <w:rFonts w:ascii="Verdana" w:eastAsia="Times New Roman" w:hAnsi="Verdana" w:cs="Times New Roman"/>
          <w:color w:val="000000"/>
          <w:kern w:val="0"/>
          <w:lang w:val="es-CO" w:eastAsia="es-MX"/>
          <w14:ligatures w14:val="none"/>
        </w:rPr>
        <w:t>.</w:t>
      </w:r>
    </w:p>
    <w:p w14:paraId="6CCDABF4"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lastRenderedPageBreak/>
        <w:br/>
      </w:r>
    </w:p>
    <w:p w14:paraId="294AA2BB" w14:textId="77777777" w:rsidR="00875098" w:rsidRPr="00875098" w:rsidRDefault="00875098" w:rsidP="00875098">
      <w:pPr>
        <w:numPr>
          <w:ilvl w:val="0"/>
          <w:numId w:val="9"/>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Según la Convención de Viena sobre el Derecho de los Tratados</w:t>
      </w:r>
      <w:r w:rsidRPr="00875098">
        <w:rPr>
          <w:rFonts w:ascii="Verdana" w:eastAsia="Times New Roman" w:hAnsi="Verdana" w:cs="Times New Roman"/>
          <w:color w:val="000000"/>
          <w:kern w:val="0"/>
          <w:sz w:val="14"/>
          <w:szCs w:val="14"/>
          <w:vertAlign w:val="superscript"/>
          <w:lang w:val="es-CO" w:eastAsia="es-MX"/>
          <w14:ligatures w14:val="none"/>
        </w:rPr>
        <w:t>5</w:t>
      </w:r>
      <w:r w:rsidRPr="00875098">
        <w:rPr>
          <w:rFonts w:ascii="Verdana" w:eastAsia="Times New Roman" w:hAnsi="Verdana" w:cs="Times New Roman"/>
          <w:color w:val="000000"/>
          <w:kern w:val="0"/>
          <w:lang w:val="es-CO" w:eastAsia="es-MX"/>
          <w14:ligatures w14:val="none"/>
        </w:rPr>
        <w:t>, los Estados pueden formular reservas permitidas por los tratados multilaterales, las cuales modifican el alcance de sus obligaciones frente a las demás Partes.</w:t>
      </w:r>
    </w:p>
    <w:p w14:paraId="2F51B9C6"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6D50B299" w14:textId="77777777" w:rsidR="00875098" w:rsidRPr="00875098" w:rsidRDefault="00875098" w:rsidP="00875098">
      <w:pPr>
        <w:numPr>
          <w:ilvl w:val="0"/>
          <w:numId w:val="10"/>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De acuerdo con el Informe Explicativo de la MAAC</w:t>
      </w:r>
      <w:r w:rsidRPr="00875098">
        <w:rPr>
          <w:rFonts w:ascii="Verdana" w:eastAsia="Times New Roman" w:hAnsi="Verdana" w:cs="Times New Roman"/>
          <w:color w:val="000000"/>
          <w:kern w:val="0"/>
          <w:sz w:val="14"/>
          <w:szCs w:val="14"/>
          <w:vertAlign w:val="superscript"/>
          <w:lang w:val="es-CO" w:eastAsia="es-MX"/>
          <w14:ligatures w14:val="none"/>
        </w:rPr>
        <w:t>6</w:t>
      </w:r>
      <w:r w:rsidRPr="00875098">
        <w:rPr>
          <w:rFonts w:ascii="Verdana" w:eastAsia="Times New Roman" w:hAnsi="Verdana" w:cs="Times New Roman"/>
          <w:color w:val="000000"/>
          <w:kern w:val="0"/>
          <w:lang w:val="es-CO" w:eastAsia="es-MX"/>
          <w14:ligatures w14:val="none"/>
        </w:rPr>
        <w:t xml:space="preserve">, elaborado conjuntamente por la OCDE y el Consejo de Europa, las reservas fueron diseñadas para permitir la flexibilidad necesaria para que más países pudieran adherirse. </w:t>
      </w:r>
      <w:r w:rsidRPr="00875098">
        <w:rPr>
          <w:rFonts w:ascii="Verdana" w:eastAsia="Times New Roman" w:hAnsi="Verdana" w:cs="Times New Roman"/>
          <w:color w:val="000000"/>
          <w:kern w:val="0"/>
          <w:highlight w:val="yellow"/>
          <w:lang w:val="es-CO" w:eastAsia="es-MX"/>
          <w14:ligatures w14:val="none"/>
        </w:rPr>
        <w:t xml:space="preserve">Así, las reservas formuladas conforme al artículo 30 de la MAAC tienen efecto automático, no requieren aceptación posterior de los demás Estados Parte, y son vinculantes desde la entrada en vigor del tratado para el Estado </w:t>
      </w:r>
      <w:proofErr w:type="spellStart"/>
      <w:r w:rsidRPr="00875098">
        <w:rPr>
          <w:rFonts w:ascii="Verdana" w:eastAsia="Times New Roman" w:hAnsi="Verdana" w:cs="Times New Roman"/>
          <w:color w:val="000000"/>
          <w:kern w:val="0"/>
          <w:highlight w:val="yellow"/>
          <w:lang w:val="es-CO" w:eastAsia="es-MX"/>
          <w14:ligatures w14:val="none"/>
        </w:rPr>
        <w:t>reservante</w:t>
      </w:r>
      <w:proofErr w:type="spellEnd"/>
      <w:r w:rsidRPr="00875098">
        <w:rPr>
          <w:rFonts w:ascii="Verdana" w:eastAsia="Times New Roman" w:hAnsi="Verdana" w:cs="Times New Roman"/>
          <w:color w:val="000000"/>
          <w:kern w:val="0"/>
          <w:highlight w:val="yellow"/>
          <w:lang w:val="es-CO" w:eastAsia="es-MX"/>
          <w14:ligatures w14:val="none"/>
        </w:rPr>
        <w:t>.</w:t>
      </w:r>
    </w:p>
    <w:p w14:paraId="4BE09756"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021A8C8C" w14:textId="77777777" w:rsidR="00875098" w:rsidRPr="00875098" w:rsidRDefault="00875098" w:rsidP="00875098">
      <w:pPr>
        <w:numPr>
          <w:ilvl w:val="0"/>
          <w:numId w:val="11"/>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 xml:space="preserve">Lo anterior significa que Colombia no está obligada a realizar análisis caso por caso frente a solicitudes extranjeras de asistencia en cobro cubiertas por la reserva . </w:t>
      </w:r>
      <w:r w:rsidRPr="00875098">
        <w:rPr>
          <w:rFonts w:ascii="Verdana" w:eastAsia="Times New Roman" w:hAnsi="Verdana" w:cs="Times New Roman"/>
          <w:color w:val="000000"/>
          <w:kern w:val="0"/>
          <w:highlight w:val="yellow"/>
          <w:lang w:val="es-CO" w:eastAsia="es-MX"/>
          <w14:ligatures w14:val="none"/>
        </w:rPr>
        <w:t>Así, la simple existencia de la reserva faculta a Colombia para rechazar las solicitudes de asistencia en cobro amparadas bajo la reserva efectuada a la MAAC.</w:t>
      </w:r>
    </w:p>
    <w:p w14:paraId="4F8E8337"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294CC334" w14:textId="77777777" w:rsidR="00875098" w:rsidRPr="00875098" w:rsidRDefault="00875098" w:rsidP="00875098">
      <w:pPr>
        <w:numPr>
          <w:ilvl w:val="0"/>
          <w:numId w:val="12"/>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Según el mencionado informe explicativo de la MAAC, las reservas reconocidas por los Estados no suprimen totalmente la posibilidad de cooperación, sino que eliminan la obligación de hacerlo. Esto significa que, aun existiendo una reserva, Colombia puede decidir colaborar voluntariamente en un caso concreto.</w:t>
      </w:r>
    </w:p>
    <w:p w14:paraId="00E973CB"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170BD451" w14:textId="77777777" w:rsidR="00875098" w:rsidRPr="00875098" w:rsidRDefault="00875098" w:rsidP="00875098">
      <w:pPr>
        <w:numPr>
          <w:ilvl w:val="0"/>
          <w:numId w:val="13"/>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En la guía oficial de la OCDE se destaca que las reservas son recíprocas, es decir, si un Estado que ha formulado una reserva no puede exigir de otros Estados asistencia en la materia excluida por esa reserva</w:t>
      </w:r>
      <w:r w:rsidRPr="00875098">
        <w:rPr>
          <w:rFonts w:ascii="Verdana" w:eastAsia="Times New Roman" w:hAnsi="Verdana" w:cs="Times New Roman"/>
          <w:color w:val="000000"/>
          <w:kern w:val="0"/>
          <w:sz w:val="14"/>
          <w:szCs w:val="14"/>
          <w:vertAlign w:val="superscript"/>
          <w:lang w:val="es-CO" w:eastAsia="es-MX"/>
          <w14:ligatures w14:val="none"/>
        </w:rPr>
        <w:t>7</w:t>
      </w:r>
      <w:r w:rsidRPr="00875098">
        <w:rPr>
          <w:rFonts w:ascii="Verdana" w:eastAsia="Times New Roman" w:hAnsi="Verdana" w:cs="Times New Roman"/>
          <w:color w:val="000000"/>
          <w:kern w:val="0"/>
          <w:lang w:val="es-CO" w:eastAsia="es-MX"/>
          <w14:ligatures w14:val="none"/>
        </w:rPr>
        <w:t>. En el caso colombiano, esto significa que mientras mantenga su reserva sobre asistencia en cobro, tampoco podrá solicitar a otros Estados ayuda para recuperar créditos fiscales propios en el exterior.</w:t>
      </w:r>
    </w:p>
    <w:p w14:paraId="3BDCE94A"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r w:rsidRPr="00875098">
        <w:rPr>
          <w:rFonts w:ascii="Times New Roman" w:eastAsia="Times New Roman" w:hAnsi="Times New Roman" w:cs="Times New Roman"/>
          <w:kern w:val="0"/>
          <w:lang w:val="es-CO" w:eastAsia="es-MX"/>
          <w14:ligatures w14:val="none"/>
        </w:rPr>
        <w:br/>
      </w:r>
    </w:p>
    <w:p w14:paraId="24EE9443" w14:textId="77777777" w:rsidR="00875098" w:rsidRPr="00875098" w:rsidRDefault="00875098" w:rsidP="00875098">
      <w:pPr>
        <w:numPr>
          <w:ilvl w:val="0"/>
          <w:numId w:val="14"/>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Es importante destacar que, conforme a la guía oficial de la OCDE</w:t>
      </w:r>
      <w:r w:rsidRPr="00875098">
        <w:rPr>
          <w:rFonts w:ascii="Verdana" w:eastAsia="Times New Roman" w:hAnsi="Verdana" w:cs="Times New Roman"/>
          <w:color w:val="000000"/>
          <w:kern w:val="0"/>
          <w:sz w:val="14"/>
          <w:szCs w:val="14"/>
          <w:vertAlign w:val="superscript"/>
          <w:lang w:val="es-CO" w:eastAsia="es-MX"/>
          <w14:ligatures w14:val="none"/>
        </w:rPr>
        <w:t>8</w:t>
      </w:r>
      <w:r w:rsidRPr="00875098">
        <w:rPr>
          <w:rFonts w:ascii="Verdana" w:eastAsia="Times New Roman" w:hAnsi="Verdana" w:cs="Times New Roman"/>
          <w:color w:val="000000"/>
          <w:kern w:val="0"/>
          <w:lang w:val="es-CO" w:eastAsia="es-MX"/>
          <w14:ligatures w14:val="none"/>
        </w:rPr>
        <w:t xml:space="preserve"> y al Informe Explicativo de la MAAC, la reserva del artículo 30(1)(b) no constituye una prohibición absoluta de cooperación, sino una exclusión de la obligación jurídica internacional de cooperar. Esto significa que la reserva otorga a Colombia el derecho a rehusarse frente a solicitudes de </w:t>
      </w:r>
      <w:r w:rsidRPr="00875098">
        <w:rPr>
          <w:rFonts w:ascii="Verdana" w:eastAsia="Times New Roman" w:hAnsi="Verdana" w:cs="Times New Roman"/>
          <w:color w:val="000000"/>
          <w:kern w:val="0"/>
          <w:lang w:val="es-CO" w:eastAsia="es-MX"/>
          <w14:ligatures w14:val="none"/>
        </w:rPr>
        <w:lastRenderedPageBreak/>
        <w:t>asistencia en cobro, pero no impide que, si lo considera oportuno, el Estado colombiano decida prestar dicha asistencia de manera voluntaria</w:t>
      </w:r>
      <w:r w:rsidRPr="00875098">
        <w:rPr>
          <w:rFonts w:ascii="Verdana" w:eastAsia="Times New Roman" w:hAnsi="Verdana" w:cs="Times New Roman"/>
          <w:color w:val="000000"/>
          <w:kern w:val="0"/>
          <w:sz w:val="14"/>
          <w:szCs w:val="14"/>
          <w:vertAlign w:val="superscript"/>
          <w:lang w:val="es-CO" w:eastAsia="es-MX"/>
          <w14:ligatures w14:val="none"/>
        </w:rPr>
        <w:t>9</w:t>
      </w:r>
      <w:r w:rsidRPr="00875098">
        <w:rPr>
          <w:rFonts w:ascii="Verdana" w:eastAsia="Times New Roman" w:hAnsi="Verdana" w:cs="Times New Roman"/>
          <w:color w:val="000000"/>
          <w:kern w:val="0"/>
          <w:lang w:val="es-CO" w:eastAsia="es-MX"/>
          <w14:ligatures w14:val="none"/>
        </w:rPr>
        <w:t>.</w:t>
      </w:r>
    </w:p>
    <w:p w14:paraId="6FBA9E70"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655D0F31" w14:textId="77777777" w:rsidR="00875098" w:rsidRPr="00875098" w:rsidRDefault="00875098" w:rsidP="00875098">
      <w:pPr>
        <w:numPr>
          <w:ilvl w:val="0"/>
          <w:numId w:val="15"/>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Por ende, las reservas permiten a los Estados delimitar sus obligaciones, pero dejan abierta la posibilidad de colaboración bajo otros acuerdos. Por tanto, Colombia podría, en un caso específico, cooperar en el cobro de impuestos a solicitud de otro Estado, si así lo permite su normativa nacional y bajo parámetros definidos por la autoridad competente. Esta cooperación voluntaria no altera el marco general de la reserva ni convierte la asistencia en obligatoria frente a otros casos similares.</w:t>
      </w:r>
    </w:p>
    <w:p w14:paraId="3E1CC935"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715FBA23" w14:textId="77777777" w:rsidR="00875098" w:rsidRPr="00875098" w:rsidRDefault="00875098" w:rsidP="00875098">
      <w:pPr>
        <w:numPr>
          <w:ilvl w:val="0"/>
          <w:numId w:val="16"/>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En este contexto, cuando la Autoridad Tributaria recibe una solicitud extranjera de asistencia en cobro, únicamente debe verificar si el asunto entra dentro del alcance de la reserva. De ser así, la respuesta puede: (i) fundamentarse en la reserva vigente, sin requerir mayor análisis ni justificación adicional o (</w:t>
      </w:r>
      <w:proofErr w:type="spellStart"/>
      <w:r w:rsidRPr="00875098">
        <w:rPr>
          <w:rFonts w:ascii="Verdana" w:eastAsia="Times New Roman" w:hAnsi="Verdana" w:cs="Times New Roman"/>
          <w:color w:val="000000"/>
          <w:kern w:val="0"/>
          <w:lang w:val="es-CO" w:eastAsia="es-MX"/>
          <w14:ligatures w14:val="none"/>
        </w:rPr>
        <w:t>ii</w:t>
      </w:r>
      <w:proofErr w:type="spellEnd"/>
      <w:r w:rsidRPr="00875098">
        <w:rPr>
          <w:rFonts w:ascii="Verdana" w:eastAsia="Times New Roman" w:hAnsi="Verdana" w:cs="Times New Roman"/>
          <w:color w:val="000000"/>
          <w:kern w:val="0"/>
          <w:lang w:val="es-CO" w:eastAsia="es-MX"/>
          <w14:ligatures w14:val="none"/>
        </w:rPr>
        <w:t>) analizarse, valorarse y prestarse bajo un acuerdo especial e individual con dicho Estado, siempre la legislación doméstica lo permita.</w:t>
      </w:r>
    </w:p>
    <w:p w14:paraId="0074C04A" w14:textId="77777777" w:rsidR="00875098" w:rsidRPr="00875098" w:rsidRDefault="00875098" w:rsidP="00875098">
      <w:pPr>
        <w:rPr>
          <w:rFonts w:ascii="Times New Roman" w:eastAsia="Times New Roman" w:hAnsi="Times New Roman" w:cs="Times New Roman"/>
          <w:kern w:val="0"/>
          <w:lang w:val="es-CO" w:eastAsia="es-MX"/>
          <w14:ligatures w14:val="none"/>
        </w:rPr>
      </w:pPr>
      <w:r w:rsidRPr="00875098">
        <w:rPr>
          <w:rFonts w:ascii="Times New Roman" w:eastAsia="Times New Roman" w:hAnsi="Times New Roman" w:cs="Times New Roman"/>
          <w:kern w:val="0"/>
          <w:lang w:val="es-CO" w:eastAsia="es-MX"/>
          <w14:ligatures w14:val="none"/>
        </w:rPr>
        <w:br/>
      </w:r>
    </w:p>
    <w:p w14:paraId="1A0175D5" w14:textId="77777777" w:rsidR="00875098" w:rsidRPr="00875098" w:rsidRDefault="00875098" w:rsidP="00875098">
      <w:pPr>
        <w:numPr>
          <w:ilvl w:val="0"/>
          <w:numId w:val="17"/>
        </w:numPr>
        <w:jc w:val="both"/>
        <w:textAlignment w:val="baseline"/>
        <w:rPr>
          <w:rFonts w:ascii="Verdana" w:eastAsia="Times New Roman" w:hAnsi="Verdana" w:cs="Times New Roman"/>
          <w:color w:val="000000"/>
          <w:kern w:val="0"/>
          <w:lang w:val="es-CO" w:eastAsia="es-MX"/>
          <w14:ligatures w14:val="none"/>
        </w:rPr>
      </w:pPr>
      <w:r w:rsidRPr="00875098">
        <w:rPr>
          <w:rFonts w:ascii="Verdana" w:eastAsia="Times New Roman" w:hAnsi="Verdana" w:cs="Times New Roman"/>
          <w:color w:val="000000"/>
          <w:kern w:val="0"/>
          <w:lang w:val="es-CO" w:eastAsia="es-MX"/>
          <w14:ligatures w14:val="none"/>
        </w:rPr>
        <w:t>En suma, la reserva formulada por Colombia al artículo 30(1)(b) de la MAAC excluye de manera automática y general la obligación del país de prestar asistencia en el cobro de créditos fiscales y multas administrativas solicitadas por otros Estados Parte. Esta exclusión se fundamenta en el derecho internacional de los tratados y en las disposiciones específicas de la MAAC, operando sin necesidad de análisis caso por caso y generando efectos recíprocos. Sin embargo, dicha reserva no impide que Colombia, si lo considera conveniente y conforme a su legislación interna, decida cooperar de manera voluntaria en situaciones particulares.</w:t>
      </w:r>
    </w:p>
    <w:p w14:paraId="45122088" w14:textId="77777777" w:rsidR="00875098" w:rsidRPr="00875098" w:rsidRDefault="00875098" w:rsidP="00875098">
      <w:pPr>
        <w:rPr>
          <w:rFonts w:ascii="Times New Roman" w:eastAsia="Times New Roman" w:hAnsi="Times New Roman" w:cs="Times New Roman"/>
          <w:kern w:val="0"/>
          <w:lang w:val="es-CO" w:eastAsia="es-MX"/>
          <w14:ligatures w14:val="none"/>
        </w:rPr>
      </w:pPr>
    </w:p>
    <w:p w14:paraId="6376D091"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5" w:history="1">
        <w:r w:rsidRPr="00875098">
          <w:rPr>
            <w:rFonts w:ascii="Verdana" w:eastAsia="Times New Roman" w:hAnsi="Verdana" w:cs="Times New Roman"/>
            <w:color w:val="000000"/>
            <w:kern w:val="0"/>
            <w:u w:val="single"/>
            <w:lang w:val="es-CO" w:eastAsia="es-MX"/>
            <w14:ligatures w14:val="none"/>
          </w:rPr>
          <w:t>https://normograma.dian.gov.co/dian/</w:t>
        </w:r>
      </w:hyperlink>
      <w:r w:rsidRPr="00875098">
        <w:rPr>
          <w:rFonts w:ascii="Verdana" w:eastAsia="Times New Roman" w:hAnsi="Verdana" w:cs="Times New Roman"/>
          <w:color w:val="000000"/>
          <w:kern w:val="0"/>
          <w:lang w:val="es-CO" w:eastAsia="es-MX"/>
          <w14:ligatures w14:val="none"/>
        </w:rPr>
        <w:t>.</w:t>
      </w:r>
    </w:p>
    <w:p w14:paraId="602C3406" w14:textId="77777777" w:rsidR="00875098" w:rsidRPr="00875098" w:rsidRDefault="00875098" w:rsidP="00875098">
      <w:pPr>
        <w:rPr>
          <w:rFonts w:ascii="Times New Roman" w:eastAsia="Times New Roman" w:hAnsi="Times New Roman" w:cs="Times New Roman"/>
          <w:kern w:val="0"/>
          <w:lang w:val="es-CO" w:eastAsia="es-MX"/>
          <w14:ligatures w14:val="none"/>
        </w:rPr>
      </w:pPr>
    </w:p>
    <w:p w14:paraId="1AD4B2DB"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Atentamente,</w:t>
      </w:r>
    </w:p>
    <w:p w14:paraId="6CDE4BE1" w14:textId="77777777" w:rsidR="00875098" w:rsidRPr="00875098" w:rsidRDefault="00875098" w:rsidP="00875098">
      <w:pPr>
        <w:rPr>
          <w:rFonts w:ascii="Times New Roman" w:eastAsia="Times New Roman" w:hAnsi="Times New Roman" w:cs="Times New Roman"/>
          <w:kern w:val="0"/>
          <w:lang w:val="es-CO" w:eastAsia="es-MX"/>
          <w14:ligatures w14:val="none"/>
        </w:rPr>
      </w:pPr>
    </w:p>
    <w:p w14:paraId="2711EC27" w14:textId="77777777" w:rsidR="00875098" w:rsidRPr="00875098" w:rsidRDefault="00875098" w:rsidP="00875098">
      <w:pPr>
        <w:jc w:val="both"/>
        <w:outlineLvl w:val="0"/>
        <w:rPr>
          <w:rFonts w:ascii="Times New Roman" w:eastAsia="Times New Roman" w:hAnsi="Times New Roman" w:cs="Times New Roman"/>
          <w:b/>
          <w:bCs/>
          <w:kern w:val="36"/>
          <w:sz w:val="48"/>
          <w:szCs w:val="48"/>
          <w:lang w:val="es-CO" w:eastAsia="es-MX"/>
          <w14:ligatures w14:val="none"/>
        </w:rPr>
      </w:pPr>
      <w:r w:rsidRPr="00875098">
        <w:rPr>
          <w:rFonts w:ascii="Verdana" w:eastAsia="Times New Roman" w:hAnsi="Verdana" w:cs="Times New Roman"/>
          <w:b/>
          <w:bCs/>
          <w:color w:val="000000"/>
          <w:kern w:val="36"/>
          <w:lang w:val="es-CO" w:eastAsia="es-MX"/>
          <w14:ligatures w14:val="none"/>
        </w:rPr>
        <w:t>INGRID CASTAÑEDA CEPEDA</w:t>
      </w:r>
    </w:p>
    <w:p w14:paraId="759D5FEB"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Subdirectora de Normativa y Doctrina (A) </w:t>
      </w:r>
    </w:p>
    <w:p w14:paraId="3175ACB6"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Dirección de Gestión Jurídica</w:t>
      </w:r>
    </w:p>
    <w:p w14:paraId="0A6FA301"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lastRenderedPageBreak/>
        <w:t>U.A.E. Dirección de Impuestos y Aduanas Nacionales – DIAN </w:t>
      </w:r>
    </w:p>
    <w:p w14:paraId="77CD0B84"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 xml:space="preserve">Dirección: </w:t>
      </w:r>
      <w:proofErr w:type="spellStart"/>
      <w:r w:rsidRPr="00875098">
        <w:rPr>
          <w:rFonts w:ascii="Verdana" w:eastAsia="Times New Roman" w:hAnsi="Verdana" w:cs="Times New Roman"/>
          <w:color w:val="000000"/>
          <w:kern w:val="0"/>
          <w:lang w:val="es-CO" w:eastAsia="es-MX"/>
          <w14:ligatures w14:val="none"/>
        </w:rPr>
        <w:t>Cra</w:t>
      </w:r>
      <w:proofErr w:type="spellEnd"/>
      <w:r w:rsidRPr="00875098">
        <w:rPr>
          <w:rFonts w:ascii="Verdana" w:eastAsia="Times New Roman" w:hAnsi="Verdana" w:cs="Times New Roman"/>
          <w:color w:val="000000"/>
          <w:kern w:val="0"/>
          <w:lang w:val="es-CO" w:eastAsia="es-MX"/>
          <w14:ligatures w14:val="none"/>
        </w:rPr>
        <w:t>. 8 # 6C-38 Edificio San Agustín - Piso 4 </w:t>
      </w:r>
    </w:p>
    <w:p w14:paraId="103FC2F6"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r w:rsidRPr="00875098">
        <w:rPr>
          <w:rFonts w:ascii="Verdana" w:eastAsia="Times New Roman" w:hAnsi="Verdana" w:cs="Times New Roman"/>
          <w:color w:val="000000"/>
          <w:kern w:val="0"/>
          <w:lang w:val="es-CO" w:eastAsia="es-MX"/>
          <w14:ligatures w14:val="none"/>
        </w:rPr>
        <w:t>Bogotá, D.C.</w:t>
      </w:r>
    </w:p>
    <w:p w14:paraId="79272284" w14:textId="77777777" w:rsidR="00875098" w:rsidRPr="00875098" w:rsidRDefault="00875098" w:rsidP="00875098">
      <w:pPr>
        <w:jc w:val="both"/>
        <w:rPr>
          <w:rFonts w:ascii="Times New Roman" w:eastAsia="Times New Roman" w:hAnsi="Times New Roman" w:cs="Times New Roman"/>
          <w:kern w:val="0"/>
          <w:lang w:val="es-CO" w:eastAsia="es-MX"/>
          <w14:ligatures w14:val="none"/>
        </w:rPr>
      </w:pPr>
      <w:hyperlink r:id="rId6" w:history="1">
        <w:r w:rsidRPr="00875098">
          <w:rPr>
            <w:rFonts w:ascii="Verdana" w:eastAsia="Times New Roman" w:hAnsi="Verdana" w:cs="Times New Roman"/>
            <w:color w:val="000000"/>
            <w:kern w:val="0"/>
            <w:u w:val="single"/>
            <w:lang w:val="es-CO" w:eastAsia="es-MX"/>
            <w14:ligatures w14:val="none"/>
          </w:rPr>
          <w:t>www.dian.gov.co</w:t>
        </w:r>
      </w:hyperlink>
    </w:p>
    <w:p w14:paraId="6D642945" w14:textId="77777777" w:rsidR="00875098" w:rsidRPr="00875098" w:rsidRDefault="00875098" w:rsidP="00875098">
      <w:pPr>
        <w:rPr>
          <w:rFonts w:ascii="Times New Roman" w:eastAsia="Times New Roman" w:hAnsi="Times New Roman" w:cs="Times New Roman"/>
          <w:kern w:val="0"/>
          <w:lang w:val="es-CO" w:eastAsia="es-MX"/>
          <w14:ligatures w14:val="none"/>
        </w:rPr>
      </w:pPr>
    </w:p>
    <w:p w14:paraId="1C0D41CA"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A0541E"/>
    <w:multiLevelType w:val="multilevel"/>
    <w:tmpl w:val="A58ECD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5F59AC"/>
    <w:multiLevelType w:val="multilevel"/>
    <w:tmpl w:val="EED6190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B621C67"/>
    <w:multiLevelType w:val="multilevel"/>
    <w:tmpl w:val="C9A699A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99342F"/>
    <w:multiLevelType w:val="multilevel"/>
    <w:tmpl w:val="5540DD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CF4069"/>
    <w:multiLevelType w:val="multilevel"/>
    <w:tmpl w:val="82E4CDFE"/>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0CF0FD8"/>
    <w:multiLevelType w:val="multilevel"/>
    <w:tmpl w:val="ED768D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19C4B47"/>
    <w:multiLevelType w:val="multilevel"/>
    <w:tmpl w:val="46D2668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9F75AEB"/>
    <w:multiLevelType w:val="multilevel"/>
    <w:tmpl w:val="72A0EB7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C5A67D5"/>
    <w:multiLevelType w:val="multilevel"/>
    <w:tmpl w:val="23F8621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E345556"/>
    <w:multiLevelType w:val="multilevel"/>
    <w:tmpl w:val="3948E7A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3E078F8"/>
    <w:multiLevelType w:val="multilevel"/>
    <w:tmpl w:val="163E9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4601F31"/>
    <w:multiLevelType w:val="multilevel"/>
    <w:tmpl w:val="B45019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8CC5BC6"/>
    <w:multiLevelType w:val="multilevel"/>
    <w:tmpl w:val="1B30846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1E148C0"/>
    <w:multiLevelType w:val="multilevel"/>
    <w:tmpl w:val="7EE0FC0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7EE58D3"/>
    <w:multiLevelType w:val="multilevel"/>
    <w:tmpl w:val="D99CE33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3301E1"/>
    <w:multiLevelType w:val="multilevel"/>
    <w:tmpl w:val="ACAA72A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4F474A7"/>
    <w:multiLevelType w:val="multilevel"/>
    <w:tmpl w:val="F60E27B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46924586">
    <w:abstractNumId w:val="10"/>
  </w:num>
  <w:num w:numId="2" w16cid:durableId="32001591">
    <w:abstractNumId w:val="0"/>
    <w:lvlOverride w:ilvl="0">
      <w:lvl w:ilvl="0">
        <w:numFmt w:val="decimal"/>
        <w:lvlText w:val="%1."/>
        <w:lvlJc w:val="left"/>
      </w:lvl>
    </w:lvlOverride>
  </w:num>
  <w:num w:numId="3" w16cid:durableId="1662273698">
    <w:abstractNumId w:val="11"/>
    <w:lvlOverride w:ilvl="0">
      <w:lvl w:ilvl="0">
        <w:numFmt w:val="decimal"/>
        <w:lvlText w:val="%1."/>
        <w:lvlJc w:val="left"/>
      </w:lvl>
    </w:lvlOverride>
  </w:num>
  <w:num w:numId="4" w16cid:durableId="552431449">
    <w:abstractNumId w:val="5"/>
    <w:lvlOverride w:ilvl="0">
      <w:lvl w:ilvl="0">
        <w:numFmt w:val="decimal"/>
        <w:lvlText w:val="%1."/>
        <w:lvlJc w:val="left"/>
      </w:lvl>
    </w:lvlOverride>
  </w:num>
  <w:num w:numId="5" w16cid:durableId="915894970">
    <w:abstractNumId w:val="3"/>
    <w:lvlOverride w:ilvl="0">
      <w:lvl w:ilvl="0">
        <w:numFmt w:val="decimal"/>
        <w:lvlText w:val="%1."/>
        <w:lvlJc w:val="left"/>
      </w:lvl>
    </w:lvlOverride>
  </w:num>
  <w:num w:numId="6" w16cid:durableId="1284531575">
    <w:abstractNumId w:val="1"/>
    <w:lvlOverride w:ilvl="0">
      <w:lvl w:ilvl="0">
        <w:numFmt w:val="decimal"/>
        <w:lvlText w:val="%1."/>
        <w:lvlJc w:val="left"/>
      </w:lvl>
    </w:lvlOverride>
  </w:num>
  <w:num w:numId="7" w16cid:durableId="33121737">
    <w:abstractNumId w:val="8"/>
    <w:lvlOverride w:ilvl="0">
      <w:lvl w:ilvl="0">
        <w:numFmt w:val="decimal"/>
        <w:lvlText w:val="%1."/>
        <w:lvlJc w:val="left"/>
      </w:lvl>
    </w:lvlOverride>
  </w:num>
  <w:num w:numId="8" w16cid:durableId="45640708">
    <w:abstractNumId w:val="16"/>
    <w:lvlOverride w:ilvl="0">
      <w:lvl w:ilvl="0">
        <w:numFmt w:val="decimal"/>
        <w:lvlText w:val="%1."/>
        <w:lvlJc w:val="left"/>
      </w:lvl>
    </w:lvlOverride>
  </w:num>
  <w:num w:numId="9" w16cid:durableId="1465540582">
    <w:abstractNumId w:val="9"/>
    <w:lvlOverride w:ilvl="0">
      <w:lvl w:ilvl="0">
        <w:numFmt w:val="decimal"/>
        <w:lvlText w:val="%1."/>
        <w:lvlJc w:val="left"/>
      </w:lvl>
    </w:lvlOverride>
  </w:num>
  <w:num w:numId="10" w16cid:durableId="895816474">
    <w:abstractNumId w:val="12"/>
    <w:lvlOverride w:ilvl="0">
      <w:lvl w:ilvl="0">
        <w:numFmt w:val="decimal"/>
        <w:lvlText w:val="%1."/>
        <w:lvlJc w:val="left"/>
      </w:lvl>
    </w:lvlOverride>
  </w:num>
  <w:num w:numId="11" w16cid:durableId="584921515">
    <w:abstractNumId w:val="14"/>
    <w:lvlOverride w:ilvl="0">
      <w:lvl w:ilvl="0">
        <w:numFmt w:val="decimal"/>
        <w:lvlText w:val="%1."/>
        <w:lvlJc w:val="left"/>
      </w:lvl>
    </w:lvlOverride>
  </w:num>
  <w:num w:numId="12" w16cid:durableId="1682311996">
    <w:abstractNumId w:val="15"/>
    <w:lvlOverride w:ilvl="0">
      <w:lvl w:ilvl="0">
        <w:numFmt w:val="decimal"/>
        <w:lvlText w:val="%1."/>
        <w:lvlJc w:val="left"/>
      </w:lvl>
    </w:lvlOverride>
  </w:num>
  <w:num w:numId="13" w16cid:durableId="615217165">
    <w:abstractNumId w:val="2"/>
    <w:lvlOverride w:ilvl="0">
      <w:lvl w:ilvl="0">
        <w:numFmt w:val="decimal"/>
        <w:lvlText w:val="%1."/>
        <w:lvlJc w:val="left"/>
      </w:lvl>
    </w:lvlOverride>
  </w:num>
  <w:num w:numId="14" w16cid:durableId="32971471">
    <w:abstractNumId w:val="13"/>
    <w:lvlOverride w:ilvl="0">
      <w:lvl w:ilvl="0">
        <w:numFmt w:val="decimal"/>
        <w:lvlText w:val="%1."/>
        <w:lvlJc w:val="left"/>
      </w:lvl>
    </w:lvlOverride>
  </w:num>
  <w:num w:numId="15" w16cid:durableId="1138837299">
    <w:abstractNumId w:val="6"/>
    <w:lvlOverride w:ilvl="0">
      <w:lvl w:ilvl="0">
        <w:numFmt w:val="decimal"/>
        <w:lvlText w:val="%1."/>
        <w:lvlJc w:val="left"/>
      </w:lvl>
    </w:lvlOverride>
  </w:num>
  <w:num w:numId="16" w16cid:durableId="1188786365">
    <w:abstractNumId w:val="7"/>
    <w:lvlOverride w:ilvl="0">
      <w:lvl w:ilvl="0">
        <w:numFmt w:val="decimal"/>
        <w:lvlText w:val="%1."/>
        <w:lvlJc w:val="left"/>
      </w:lvl>
    </w:lvlOverride>
  </w:num>
  <w:num w:numId="17" w16cid:durableId="1408041025">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098"/>
    <w:rsid w:val="000B2285"/>
    <w:rsid w:val="00284D72"/>
    <w:rsid w:val="00537D8F"/>
    <w:rsid w:val="008516A4"/>
    <w:rsid w:val="00875098"/>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05A2218"/>
  <w14:defaultImageDpi w14:val="32767"/>
  <w15:chartTrackingRefBased/>
  <w15:docId w15:val="{141C349C-F095-B744-83EB-43752BD95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750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750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7509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7509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7509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7509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7509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7509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7509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7509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7509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7509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7509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7509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7509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7509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7509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75098"/>
    <w:rPr>
      <w:rFonts w:eastAsiaTheme="majorEastAsia" w:cstheme="majorBidi"/>
      <w:color w:val="272727" w:themeColor="text1" w:themeTint="D8"/>
    </w:rPr>
  </w:style>
  <w:style w:type="paragraph" w:styleId="Ttulo">
    <w:name w:val="Title"/>
    <w:basedOn w:val="Normal"/>
    <w:next w:val="Normal"/>
    <w:link w:val="TtuloCar"/>
    <w:uiPriority w:val="10"/>
    <w:qFormat/>
    <w:rsid w:val="0087509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7509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7509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7509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7509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875098"/>
    <w:rPr>
      <w:i/>
      <w:iCs/>
      <w:color w:val="404040" w:themeColor="text1" w:themeTint="BF"/>
    </w:rPr>
  </w:style>
  <w:style w:type="paragraph" w:styleId="Prrafodelista">
    <w:name w:val="List Paragraph"/>
    <w:basedOn w:val="Normal"/>
    <w:uiPriority w:val="34"/>
    <w:qFormat/>
    <w:rsid w:val="00875098"/>
    <w:pPr>
      <w:ind w:left="720"/>
      <w:contextualSpacing/>
    </w:pPr>
  </w:style>
  <w:style w:type="character" w:styleId="nfasisintenso">
    <w:name w:val="Intense Emphasis"/>
    <w:basedOn w:val="Fuentedeprrafopredeter"/>
    <w:uiPriority w:val="21"/>
    <w:qFormat/>
    <w:rsid w:val="00875098"/>
    <w:rPr>
      <w:i/>
      <w:iCs/>
      <w:color w:val="2F5496" w:themeColor="accent1" w:themeShade="BF"/>
    </w:rPr>
  </w:style>
  <w:style w:type="paragraph" w:styleId="Citadestacada">
    <w:name w:val="Intense Quote"/>
    <w:basedOn w:val="Normal"/>
    <w:next w:val="Normal"/>
    <w:link w:val="CitadestacadaCar"/>
    <w:uiPriority w:val="30"/>
    <w:qFormat/>
    <w:rsid w:val="008750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75098"/>
    <w:rPr>
      <w:i/>
      <w:iCs/>
      <w:color w:val="2F5496" w:themeColor="accent1" w:themeShade="BF"/>
    </w:rPr>
  </w:style>
  <w:style w:type="character" w:styleId="Referenciaintensa">
    <w:name w:val="Intense Reference"/>
    <w:basedOn w:val="Fuentedeprrafopredeter"/>
    <w:uiPriority w:val="32"/>
    <w:qFormat/>
    <w:rsid w:val="00875098"/>
    <w:rPr>
      <w:b/>
      <w:bCs/>
      <w:smallCaps/>
      <w:color w:val="2F5496" w:themeColor="accent1" w:themeShade="BF"/>
      <w:spacing w:val="5"/>
    </w:rPr>
  </w:style>
  <w:style w:type="paragraph" w:styleId="NormalWeb">
    <w:name w:val="Normal (Web)"/>
    <w:basedOn w:val="Normal"/>
    <w:uiPriority w:val="99"/>
    <w:semiHidden/>
    <w:unhideWhenUsed/>
    <w:rsid w:val="0087509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875098"/>
  </w:style>
  <w:style w:type="character" w:styleId="Hipervnculo">
    <w:name w:val="Hyperlink"/>
    <w:basedOn w:val="Fuentedeprrafopredeter"/>
    <w:uiPriority w:val="99"/>
    <w:semiHidden/>
    <w:unhideWhenUsed/>
    <w:rsid w:val="0087509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1204</Words>
  <Characters>6623</Characters>
  <Application>Microsoft Office Word</Application>
  <DocSecurity>0</DocSecurity>
  <Lines>55</Lines>
  <Paragraphs>15</Paragraphs>
  <ScaleCrop>false</ScaleCrop>
  <Company/>
  <LinksUpToDate>false</LinksUpToDate>
  <CharactersWithSpaces>7812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2</cp:revision>
  <dcterms:created xsi:type="dcterms:W3CDTF">2025-10-07T17:26:00Z</dcterms:created>
  <dcterms:modified xsi:type="dcterms:W3CDTF">2025-10-07T17:29:00Z</dcterms:modified>
</cp:coreProperties>
</file>