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5EF50"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b/>
          <w:bCs/>
          <w:color w:val="000000"/>
          <w:kern w:val="0"/>
          <w:lang w:val="es-CO" w:eastAsia="es-MX"/>
          <w14:ligatures w14:val="none"/>
        </w:rPr>
        <w:t>OFICIO 220-083289 DEL 8 DE AGOSTO DE 2025</w:t>
      </w:r>
    </w:p>
    <w:p w14:paraId="117A98AC"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b/>
          <w:bCs/>
          <w:color w:val="000000"/>
          <w:kern w:val="0"/>
          <w:lang w:val="es-CO" w:eastAsia="es-MX"/>
          <w14:ligatures w14:val="none"/>
        </w:rPr>
        <w:t>SUPERINTENDENCIA DE SOCIEDADES</w:t>
      </w:r>
    </w:p>
    <w:p w14:paraId="273FC957"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551BD3B0"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b/>
          <w:bCs/>
          <w:color w:val="000000"/>
          <w:kern w:val="0"/>
          <w:lang w:val="es-CO" w:eastAsia="es-MX"/>
          <w14:ligatures w14:val="none"/>
        </w:rPr>
        <w:t>ASUNTO: ARTÍCULO 26 DE LA LEY 1429 DE 2010</w:t>
      </w:r>
    </w:p>
    <w:p w14:paraId="2794F2E9"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1837A4AC"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Me refiero a su escrito radicado en esta Superintendencia como se indica en la referencia mediante el cual eleva algunas inquietudes relacionadas con la figura del agente oficioso en relación con la representación de los accionistas en una compañía.</w:t>
      </w:r>
    </w:p>
    <w:p w14:paraId="29B50DA9"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21D9E88F"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Previamente a responder sus inquietudes, debe señalarse que esta Superintendencia, con fundamento en el artículo 28 del Código de Procedimiento Administrativo y de lo Contencioso Administrativo, emite conceptos de carácter general sobre las materias a su cargo, por lo cual sus respuestas a las consultas no son vinculantes ni comprometen  la responsabilidad de la entidad.</w:t>
      </w:r>
    </w:p>
    <w:p w14:paraId="3FBB7976"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162F7099"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Con el alcance indicado, este Despacho procede a responder su consulta en los siguientes términos:</w:t>
      </w:r>
    </w:p>
    <w:p w14:paraId="34FF510F" w14:textId="77777777" w:rsidR="00D96C80" w:rsidRPr="00D96C80" w:rsidRDefault="00D96C80" w:rsidP="00D96C80">
      <w:pPr>
        <w:rPr>
          <w:rFonts w:ascii="Times New Roman" w:eastAsia="Times New Roman" w:hAnsi="Times New Roman" w:cs="Times New Roman"/>
          <w:kern w:val="0"/>
          <w:lang w:val="es-CO" w:eastAsia="es-MX"/>
          <w14:ligatures w14:val="none"/>
        </w:rPr>
      </w:pPr>
      <w:r w:rsidRPr="00D96C80">
        <w:rPr>
          <w:rFonts w:ascii="Times New Roman" w:eastAsia="Times New Roman" w:hAnsi="Times New Roman" w:cs="Times New Roman"/>
          <w:kern w:val="0"/>
          <w:lang w:val="es-CO" w:eastAsia="es-MX"/>
          <w14:ligatures w14:val="none"/>
        </w:rPr>
        <w:br/>
      </w:r>
    </w:p>
    <w:p w14:paraId="41D57E1F" w14:textId="77777777" w:rsidR="00D96C80" w:rsidRPr="00D96C80" w:rsidRDefault="00D96C80" w:rsidP="00D96C80">
      <w:pPr>
        <w:numPr>
          <w:ilvl w:val="0"/>
          <w:numId w:val="1"/>
        </w:numPr>
        <w:jc w:val="both"/>
        <w:textAlignment w:val="baseline"/>
        <w:rPr>
          <w:rFonts w:ascii="Verdana" w:eastAsia="Times New Roman" w:hAnsi="Verdana" w:cs="Times New Roman"/>
          <w:b/>
          <w:bCs/>
          <w:color w:val="000000"/>
          <w:kern w:val="0"/>
          <w:lang w:val="es-CO" w:eastAsia="es-MX"/>
          <w14:ligatures w14:val="none"/>
        </w:rPr>
      </w:pPr>
      <w:r w:rsidRPr="00D96C80">
        <w:rPr>
          <w:rFonts w:ascii="Verdana" w:eastAsia="Times New Roman" w:hAnsi="Verdana" w:cs="Times New Roman"/>
          <w:b/>
          <w:bCs/>
          <w:i/>
          <w:iCs/>
          <w:color w:val="000000"/>
          <w:kern w:val="0"/>
          <w:lang w:val="es-CO" w:eastAsia="es-MX"/>
          <w14:ligatures w14:val="none"/>
        </w:rPr>
        <w:t>“¿Es jurídicamente viable, conforme al ordenamiento civil,</w:t>
      </w:r>
      <w:r w:rsidRPr="00D96C80">
        <w:rPr>
          <w:rFonts w:ascii="Verdana" w:eastAsia="Times New Roman" w:hAnsi="Verdana" w:cs="Times New Roman"/>
          <w:b/>
          <w:bCs/>
          <w:color w:val="000000"/>
          <w:kern w:val="0"/>
          <w:lang w:val="es-CO" w:eastAsia="es-MX"/>
          <w14:ligatures w14:val="none"/>
        </w:rPr>
        <w:t xml:space="preserve"> mercantil y de valores colombiano, que una persona actúe como agente oficioso de un accionista (de una sociedad anónima y de una S.A.S.) que no ha ejercido sus derechos societarios durante un período prolongado? Esta representación no se limitaría a la participación en reuniones de</w:t>
      </w:r>
      <w:r w:rsidRPr="00D96C80">
        <w:rPr>
          <w:rFonts w:ascii="Verdana" w:eastAsia="Times New Roman" w:hAnsi="Verdana" w:cs="Times New Roman"/>
          <w:b/>
          <w:bCs/>
          <w:color w:val="000000"/>
          <w:kern w:val="0"/>
          <w:lang w:val="es-CO" w:eastAsia="es-MX"/>
          <w14:ligatures w14:val="none"/>
        </w:rPr>
        <w:tab/>
        <w:t>la asamblea general de accionistas, sino que incluiría también la solicitud de información y el ejercicio de otros derechos inherentes a la calidad de accionista.”</w:t>
      </w:r>
    </w:p>
    <w:p w14:paraId="365444A7"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59DA88E4"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En criterio de esta Oficina, de acuerdo con el régimen societario, no resulta viable que un accionista sea representado en una reunión del máximo órgano social por un agente oficioso por cuanto existe norma especial que determina específicamente  cómo procede la representación de accionistas y no alude a la agencia oficiosa.</w:t>
      </w:r>
    </w:p>
    <w:p w14:paraId="2FC284F2"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547303E4"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Así lo ha concebido esta Oficina, tal y como se plasmó en el Oficio 220-007661 del  21 de febrero de 2006 del cual, a continuación, se extrae lo pertinente:</w:t>
      </w:r>
    </w:p>
    <w:p w14:paraId="5B6922B6"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6B6574A2" w14:textId="77777777" w:rsidR="00D96C80" w:rsidRPr="00D96C80" w:rsidRDefault="00D96C80" w:rsidP="00D96C80">
      <w:pPr>
        <w:ind w:left="720"/>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i/>
          <w:iCs/>
          <w:color w:val="000000"/>
          <w:kern w:val="0"/>
          <w:lang w:val="es-CO" w:eastAsia="es-MX"/>
          <w14:ligatures w14:val="none"/>
        </w:rPr>
        <w:t>“(…) Los interrogantes planteados están resueltos por la ley 222 de 1995, cuando en el artículo 18, dispuso:</w:t>
      </w:r>
    </w:p>
    <w:p w14:paraId="2E3866DC"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44CED113" w14:textId="77777777" w:rsidR="00D96C80" w:rsidRPr="00D96C80" w:rsidRDefault="00D96C80" w:rsidP="00D96C80">
      <w:pPr>
        <w:ind w:left="720"/>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b/>
          <w:bCs/>
          <w:i/>
          <w:iCs/>
          <w:color w:val="000000"/>
          <w:kern w:val="0"/>
          <w:lang w:val="es-CO" w:eastAsia="es-MX"/>
          <w14:ligatures w14:val="none"/>
        </w:rPr>
        <w:lastRenderedPageBreak/>
        <w:t>"Todo socio podrá hacerse representar en las reuniones de la junta de socios o asamblea mediante poder otorgado por escrito, en el que se  indique el nombre del apoderado, la persona en quien este puede sustituirlo, si es del caso, la fecha o época de la reunión o reuniones para las que se confiere y los demás requisitos que señalen los  estatutos.</w:t>
      </w:r>
    </w:p>
    <w:p w14:paraId="4D37A6DC"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6B092168" w14:textId="77777777" w:rsidR="00D96C80" w:rsidRPr="00D96C80" w:rsidRDefault="00D96C80" w:rsidP="00D96C80">
      <w:pPr>
        <w:ind w:left="720"/>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b/>
          <w:bCs/>
          <w:i/>
          <w:iCs/>
          <w:color w:val="000000"/>
          <w:kern w:val="0"/>
          <w:lang w:val="es-CO" w:eastAsia="es-MX"/>
          <w14:ligatures w14:val="none"/>
        </w:rPr>
        <w:t>Los poderes otorgados en el exterior sólo requerirán las formalidades  aquí previstas".</w:t>
      </w:r>
    </w:p>
    <w:p w14:paraId="58538AAA"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17FB8D94" w14:textId="77777777" w:rsidR="00D96C80" w:rsidRPr="00D96C80" w:rsidRDefault="00D96C80" w:rsidP="00D96C80">
      <w:pPr>
        <w:ind w:left="720"/>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i/>
          <w:iCs/>
          <w:color w:val="000000"/>
          <w:kern w:val="0"/>
          <w:u w:val="single"/>
          <w:lang w:val="es-CO" w:eastAsia="es-MX"/>
          <w14:ligatures w14:val="none"/>
        </w:rPr>
        <w:t>Así pues, la única forma de hacerse representar en reuniones del máximo órgano social, es por escrito a través de apoderado, tal y como lo confirma el  precitado artículo 18, norma que por pertenecer a un ordenamiento de carácter especial, rige por encima de cualquier otra disposición de carácter Civil, disciplina a la que solo puede acudirse tratándose de cuestiones que no pudieren regularse por la ley comercial o por la analogía de sus normas, de  acuerdo con lo dispuesto por los artículos 1° y 2° del Código de Comercio.</w:t>
      </w:r>
    </w:p>
    <w:p w14:paraId="287316DF"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62413403" w14:textId="77777777" w:rsidR="00D96C80" w:rsidRPr="00D96C80" w:rsidRDefault="00D96C80" w:rsidP="00D96C80">
      <w:pPr>
        <w:ind w:left="720"/>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i/>
          <w:iCs/>
          <w:color w:val="000000"/>
          <w:kern w:val="0"/>
          <w:u w:val="single"/>
          <w:lang w:val="es-CO" w:eastAsia="es-MX"/>
          <w14:ligatures w14:val="none"/>
        </w:rPr>
        <w:t>En consecuencia, no es posible aplicar la figura de la agencia oficiosa para representar un socio o accionista en reuniones del máximo órgano social.</w:t>
      </w:r>
      <w:r w:rsidRPr="00D96C80">
        <w:rPr>
          <w:rFonts w:ascii="Verdana" w:eastAsia="Times New Roman" w:hAnsi="Verdana" w:cs="Times New Roman"/>
          <w:i/>
          <w:iCs/>
          <w:color w:val="000000"/>
          <w:kern w:val="0"/>
          <w:lang w:val="es-CO" w:eastAsia="es-MX"/>
          <w14:ligatures w14:val="none"/>
        </w:rPr>
        <w:t xml:space="preserve"> (…)”  </w:t>
      </w:r>
      <w:r w:rsidRPr="00D96C80">
        <w:rPr>
          <w:rFonts w:ascii="Verdana" w:eastAsia="Times New Roman" w:hAnsi="Verdana" w:cs="Times New Roman"/>
          <w:color w:val="000000"/>
          <w:kern w:val="0"/>
          <w:lang w:val="es-CO" w:eastAsia="es-MX"/>
          <w14:ligatures w14:val="none"/>
        </w:rPr>
        <w:t>(Subrayado nuestro)</w:t>
      </w:r>
    </w:p>
    <w:p w14:paraId="7A755078" w14:textId="77777777" w:rsidR="00D96C80" w:rsidRPr="00D96C80" w:rsidRDefault="00D96C80" w:rsidP="00D96C80">
      <w:pPr>
        <w:rPr>
          <w:rFonts w:ascii="Times New Roman" w:eastAsia="Times New Roman" w:hAnsi="Times New Roman" w:cs="Times New Roman"/>
          <w:kern w:val="0"/>
          <w:lang w:val="es-CO" w:eastAsia="es-MX"/>
          <w14:ligatures w14:val="none"/>
        </w:rPr>
      </w:pPr>
      <w:r w:rsidRPr="00D96C80">
        <w:rPr>
          <w:rFonts w:ascii="Times New Roman" w:eastAsia="Times New Roman" w:hAnsi="Times New Roman" w:cs="Times New Roman"/>
          <w:kern w:val="0"/>
          <w:lang w:val="es-CO" w:eastAsia="es-MX"/>
          <w14:ligatures w14:val="none"/>
        </w:rPr>
        <w:br/>
      </w:r>
    </w:p>
    <w:p w14:paraId="019D15B1" w14:textId="77777777" w:rsidR="00D96C80" w:rsidRPr="00D96C80" w:rsidRDefault="00D96C80" w:rsidP="00D96C80">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D96C80">
        <w:rPr>
          <w:rFonts w:ascii="Verdana" w:eastAsia="Times New Roman" w:hAnsi="Verdana" w:cs="Times New Roman"/>
          <w:b/>
          <w:bCs/>
          <w:i/>
          <w:iCs/>
          <w:color w:val="000000"/>
          <w:kern w:val="0"/>
          <w:lang w:val="es-CO" w:eastAsia="es-MX"/>
          <w14:ligatures w14:val="none"/>
        </w:rPr>
        <w:t>“¿Puede un agente oficioso solicitar a la sociedad anónima la cesión de las acciones de un accionista ausente en favor de un tercero?”</w:t>
      </w:r>
    </w:p>
    <w:p w14:paraId="0255D1CA"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315DE57C"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Sobre el particular, es preciso señalar que el artículo 406 del Código de Comercio establece lo siguiente:</w:t>
      </w:r>
    </w:p>
    <w:p w14:paraId="7A39A6BC"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10BE864E" w14:textId="77777777" w:rsidR="00D96C80" w:rsidRPr="00D96C80" w:rsidRDefault="00D96C80" w:rsidP="00D96C80">
      <w:pPr>
        <w:ind w:left="720"/>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b/>
          <w:bCs/>
          <w:i/>
          <w:iCs/>
          <w:color w:val="000000"/>
          <w:kern w:val="0"/>
          <w:lang w:val="es-CO" w:eastAsia="es-MX"/>
          <w14:ligatures w14:val="none"/>
        </w:rPr>
        <w:t xml:space="preserve">“ARTÍCULO 406. </w:t>
      </w:r>
      <w:r w:rsidRPr="00D96C80">
        <w:rPr>
          <w:rFonts w:ascii="Verdana" w:eastAsia="Times New Roman" w:hAnsi="Verdana" w:cs="Times New Roman"/>
          <w:i/>
          <w:iCs/>
          <w:color w:val="000000"/>
          <w:kern w:val="0"/>
          <w:lang w:val="es-CO" w:eastAsia="es-MX"/>
          <w14:ligatures w14:val="none"/>
        </w:rPr>
        <w:t xml:space="preserve">La enajenación de las acciones nominativas podrá hacerse por el simple acuerdo de las partes; </w:t>
      </w:r>
      <w:proofErr w:type="spellStart"/>
      <w:r w:rsidRPr="00D96C80">
        <w:rPr>
          <w:rFonts w:ascii="Verdana" w:eastAsia="Times New Roman" w:hAnsi="Verdana" w:cs="Times New Roman"/>
          <w:i/>
          <w:iCs/>
          <w:color w:val="000000"/>
          <w:kern w:val="0"/>
          <w:u w:val="single"/>
          <w:lang w:val="es-CO" w:eastAsia="es-MX"/>
          <w14:ligatures w14:val="none"/>
        </w:rPr>
        <w:t>mas</w:t>
      </w:r>
      <w:proofErr w:type="spellEnd"/>
      <w:r w:rsidRPr="00D96C80">
        <w:rPr>
          <w:rFonts w:ascii="Verdana" w:eastAsia="Times New Roman" w:hAnsi="Verdana" w:cs="Times New Roman"/>
          <w:i/>
          <w:iCs/>
          <w:color w:val="000000"/>
          <w:kern w:val="0"/>
          <w:u w:val="single"/>
          <w:lang w:val="es-CO" w:eastAsia="es-MX"/>
          <w14:ligatures w14:val="none"/>
        </w:rPr>
        <w:t xml:space="preserve"> para que produzca efecto respecto  de la sociedad y de terceros, será necesaria su inscripción en el libro de registro de acciones, </w:t>
      </w:r>
      <w:r w:rsidRPr="00D96C80">
        <w:rPr>
          <w:rFonts w:ascii="Verdana" w:eastAsia="Times New Roman" w:hAnsi="Verdana" w:cs="Times New Roman"/>
          <w:b/>
          <w:bCs/>
          <w:i/>
          <w:iCs/>
          <w:color w:val="000000"/>
          <w:kern w:val="0"/>
          <w:u w:val="single"/>
          <w:lang w:val="es-CO" w:eastAsia="es-MX"/>
          <w14:ligatures w14:val="none"/>
        </w:rPr>
        <w:t xml:space="preserve">mediante orden escrita del enajenante. </w:t>
      </w:r>
      <w:r w:rsidRPr="00D96C80">
        <w:rPr>
          <w:rFonts w:ascii="Verdana" w:eastAsia="Times New Roman" w:hAnsi="Verdana" w:cs="Times New Roman"/>
          <w:i/>
          <w:iCs/>
          <w:color w:val="000000"/>
          <w:kern w:val="0"/>
          <w:u w:val="single"/>
          <w:lang w:val="es-CO" w:eastAsia="es-MX"/>
          <w14:ligatures w14:val="none"/>
        </w:rPr>
        <w:t>Esta orden podrá darse en forma de endoso hecho sobre el título respectivo</w:t>
      </w:r>
      <w:r w:rsidRPr="00D96C80">
        <w:rPr>
          <w:rFonts w:ascii="Verdana" w:eastAsia="Times New Roman" w:hAnsi="Verdana" w:cs="Times New Roman"/>
          <w:i/>
          <w:iCs/>
          <w:color w:val="000000"/>
          <w:kern w:val="0"/>
          <w:lang w:val="es-CO" w:eastAsia="es-MX"/>
          <w14:ligatures w14:val="none"/>
        </w:rPr>
        <w:t>.</w:t>
      </w:r>
    </w:p>
    <w:p w14:paraId="78330DC3"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59A3F137" w14:textId="77777777" w:rsidR="00D96C80" w:rsidRPr="00D96C80" w:rsidRDefault="00D96C80" w:rsidP="00D96C80">
      <w:pPr>
        <w:ind w:left="720"/>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i/>
          <w:iCs/>
          <w:color w:val="000000"/>
          <w:kern w:val="0"/>
          <w:lang w:val="es-CO" w:eastAsia="es-MX"/>
          <w14:ligatures w14:val="none"/>
        </w:rPr>
        <w:t xml:space="preserve">Para hacer la nueva inscripción y expedir el título al adquirente, será menester la previa cancelación de los títulos expedidos al </w:t>
      </w:r>
      <w:proofErr w:type="spellStart"/>
      <w:r w:rsidRPr="00D96C80">
        <w:rPr>
          <w:rFonts w:ascii="Verdana" w:eastAsia="Times New Roman" w:hAnsi="Verdana" w:cs="Times New Roman"/>
          <w:i/>
          <w:iCs/>
          <w:color w:val="000000"/>
          <w:kern w:val="0"/>
          <w:lang w:val="es-CO" w:eastAsia="es-MX"/>
          <w14:ligatures w14:val="none"/>
        </w:rPr>
        <w:t>tradente</w:t>
      </w:r>
      <w:proofErr w:type="spellEnd"/>
      <w:r w:rsidRPr="00D96C80">
        <w:rPr>
          <w:rFonts w:ascii="Verdana" w:eastAsia="Times New Roman" w:hAnsi="Verdana" w:cs="Times New Roman"/>
          <w:i/>
          <w:iCs/>
          <w:color w:val="000000"/>
          <w:kern w:val="0"/>
          <w:lang w:val="es-CO" w:eastAsia="es-MX"/>
          <w14:ligatures w14:val="none"/>
        </w:rPr>
        <w:t>.</w:t>
      </w:r>
    </w:p>
    <w:p w14:paraId="0169C318"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516E29B6" w14:textId="77777777" w:rsidR="00D96C80" w:rsidRPr="00D96C80" w:rsidRDefault="00D96C80" w:rsidP="00D96C80">
      <w:pPr>
        <w:ind w:left="720"/>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b/>
          <w:bCs/>
          <w:i/>
          <w:iCs/>
          <w:color w:val="000000"/>
          <w:kern w:val="0"/>
          <w:lang w:val="es-CO" w:eastAsia="es-MX"/>
          <w14:ligatures w14:val="none"/>
        </w:rPr>
        <w:t xml:space="preserve">PARÁGRAFO. </w:t>
      </w:r>
      <w:r w:rsidRPr="00D96C80">
        <w:rPr>
          <w:rFonts w:ascii="Verdana" w:eastAsia="Times New Roman" w:hAnsi="Verdana" w:cs="Times New Roman"/>
          <w:i/>
          <w:iCs/>
          <w:color w:val="000000"/>
          <w:kern w:val="0"/>
          <w:lang w:val="es-CO" w:eastAsia="es-MX"/>
          <w14:ligatures w14:val="none"/>
        </w:rPr>
        <w:t xml:space="preserve">En las ventas forzadas y en las adjudicaciones judiciales de acciones nominativas, el registro se hará mediante </w:t>
      </w:r>
      <w:r w:rsidRPr="00D96C80">
        <w:rPr>
          <w:rFonts w:ascii="Verdana" w:eastAsia="Times New Roman" w:hAnsi="Verdana" w:cs="Times New Roman"/>
          <w:i/>
          <w:iCs/>
          <w:color w:val="000000"/>
          <w:kern w:val="0"/>
          <w:lang w:val="es-CO" w:eastAsia="es-MX"/>
          <w14:ligatures w14:val="none"/>
        </w:rPr>
        <w:lastRenderedPageBreak/>
        <w:t xml:space="preserve">exhibición del original o  de copia auténtica de los documentos pertinentes.” </w:t>
      </w:r>
      <w:r w:rsidRPr="00D96C80">
        <w:rPr>
          <w:rFonts w:ascii="Verdana" w:eastAsia="Times New Roman" w:hAnsi="Verdana" w:cs="Times New Roman"/>
          <w:color w:val="000000"/>
          <w:kern w:val="0"/>
          <w:lang w:val="es-CO" w:eastAsia="es-MX"/>
          <w14:ligatures w14:val="none"/>
        </w:rPr>
        <w:t>(Subraya y negrilla fuera  del texto)</w:t>
      </w:r>
    </w:p>
    <w:p w14:paraId="0A431B97"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4B862115"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Con base en la norma trascrita y parta responder su pregunta, considera este Despacho que no es procedente la agencia oficiosa, en la medida en que la orden de inscripción de la enajenación debe provenir del enajenante de forma escrita.</w:t>
      </w:r>
    </w:p>
    <w:p w14:paraId="73B0096D" w14:textId="77777777" w:rsidR="00D96C80" w:rsidRPr="00D96C80" w:rsidRDefault="00D96C80" w:rsidP="00D96C80">
      <w:pPr>
        <w:rPr>
          <w:rFonts w:ascii="Times New Roman" w:eastAsia="Times New Roman" w:hAnsi="Times New Roman" w:cs="Times New Roman"/>
          <w:kern w:val="0"/>
          <w:lang w:val="es-CO" w:eastAsia="es-MX"/>
          <w14:ligatures w14:val="none"/>
        </w:rPr>
      </w:pPr>
      <w:r w:rsidRPr="00D96C80">
        <w:rPr>
          <w:rFonts w:ascii="Times New Roman" w:eastAsia="Times New Roman" w:hAnsi="Times New Roman" w:cs="Times New Roman"/>
          <w:kern w:val="0"/>
          <w:lang w:val="es-CO" w:eastAsia="es-MX"/>
          <w14:ligatures w14:val="none"/>
        </w:rPr>
        <w:br/>
      </w:r>
    </w:p>
    <w:p w14:paraId="4366A2E4" w14:textId="77777777" w:rsidR="00D96C80" w:rsidRPr="00D96C80" w:rsidRDefault="00D96C80" w:rsidP="00D96C80">
      <w:pPr>
        <w:numPr>
          <w:ilvl w:val="0"/>
          <w:numId w:val="3"/>
        </w:numPr>
        <w:jc w:val="both"/>
        <w:textAlignment w:val="baseline"/>
        <w:rPr>
          <w:rFonts w:ascii="Verdana" w:eastAsia="Times New Roman" w:hAnsi="Verdana" w:cs="Times New Roman"/>
          <w:b/>
          <w:bCs/>
          <w:i/>
          <w:iCs/>
          <w:color w:val="000000"/>
          <w:kern w:val="0"/>
          <w:lang w:val="es-CO" w:eastAsia="es-MX"/>
          <w14:ligatures w14:val="none"/>
        </w:rPr>
      </w:pPr>
      <w:r w:rsidRPr="00D96C80">
        <w:rPr>
          <w:rFonts w:ascii="Verdana" w:eastAsia="Times New Roman" w:hAnsi="Verdana" w:cs="Times New Roman"/>
          <w:b/>
          <w:bCs/>
          <w:i/>
          <w:iCs/>
          <w:color w:val="000000"/>
          <w:kern w:val="0"/>
          <w:lang w:val="es-CO" w:eastAsia="es-MX"/>
          <w14:ligatures w14:val="none"/>
        </w:rPr>
        <w:t>“¿Está facultado un agente oficioso para solicitar a la sociedad, en nombre del accionista a quien representa, información relacionada con el número de acciones de su titularidad, los dividendos retenidos o no reclamados, y en general, cualquier otra información</w:t>
      </w:r>
      <w:r w:rsidRPr="00D96C80">
        <w:rPr>
          <w:rFonts w:ascii="Verdana" w:eastAsia="Times New Roman" w:hAnsi="Verdana" w:cs="Times New Roman"/>
          <w:b/>
          <w:bCs/>
          <w:i/>
          <w:iCs/>
          <w:color w:val="000000"/>
          <w:kern w:val="0"/>
          <w:lang w:val="es-CO" w:eastAsia="es-MX"/>
          <w14:ligatures w14:val="none"/>
        </w:rPr>
        <w:tab/>
        <w:t>societaria que le corresponda como accionista?”</w:t>
      </w:r>
    </w:p>
    <w:p w14:paraId="5383EE40"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0757FCE6"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Sobre el particular, le informo que, en virtud del carácter reservado de la información a que alude esta pregunta, los administradores sociales cuentan con el derecho a  oponerse a permitir su examen por parte de sujetos distintos a los asociados.</w:t>
      </w:r>
    </w:p>
    <w:p w14:paraId="558DA964"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36A8571E"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En primer lugar, téngase en cuenta que de conformidad con el artículo 49 del Código de Comercio, son libros de comercio “</w:t>
      </w:r>
      <w:r w:rsidRPr="00D96C80">
        <w:rPr>
          <w:rFonts w:ascii="Verdana" w:eastAsia="Times New Roman" w:hAnsi="Verdana" w:cs="Times New Roman"/>
          <w:i/>
          <w:iCs/>
          <w:color w:val="000000"/>
          <w:kern w:val="0"/>
          <w:lang w:val="es-CO" w:eastAsia="es-MX"/>
          <w14:ligatures w14:val="none"/>
        </w:rPr>
        <w:t>los que determine la ley como obligatorios y los auxiliares necesarios para el completo entendimiento de aquellos</w:t>
      </w:r>
      <w:r w:rsidRPr="00D96C80">
        <w:rPr>
          <w:rFonts w:ascii="Verdana" w:eastAsia="Times New Roman" w:hAnsi="Verdana" w:cs="Times New Roman"/>
          <w:color w:val="000000"/>
          <w:kern w:val="0"/>
          <w:lang w:val="es-CO" w:eastAsia="es-MX"/>
          <w14:ligatures w14:val="none"/>
        </w:rPr>
        <w:t>”.</w:t>
      </w:r>
    </w:p>
    <w:p w14:paraId="7322E20D"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1C4709DB"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 xml:space="preserve">En desarrollo del anterior precepto legal, la doctrina de esta Oficina ha mencionado que “(…) </w:t>
      </w:r>
      <w:r w:rsidRPr="00D96C80">
        <w:rPr>
          <w:rFonts w:ascii="Verdana" w:eastAsia="Times New Roman" w:hAnsi="Verdana" w:cs="Times New Roman"/>
          <w:i/>
          <w:iCs/>
          <w:color w:val="000000"/>
          <w:kern w:val="0"/>
          <w:lang w:val="es-CO" w:eastAsia="es-MX"/>
          <w14:ligatures w14:val="none"/>
        </w:rPr>
        <w:t>los libros de comercio incluyen los libros corporativos como los libros de  contabilidad, comprendiendo estos últimos tanto los libros en los que se asientan las operaciones económicas, como los documentos soportes de registros, relacionados con la actividad económica de la empresa</w:t>
      </w:r>
      <w:r w:rsidRPr="00D96C80">
        <w:rPr>
          <w:rFonts w:ascii="Verdana" w:eastAsia="Times New Roman" w:hAnsi="Verdana" w:cs="Times New Roman"/>
          <w:color w:val="000000"/>
          <w:kern w:val="0"/>
          <w:lang w:val="es-CO" w:eastAsia="es-MX"/>
          <w14:ligatures w14:val="none"/>
        </w:rPr>
        <w:t>. (…)”</w:t>
      </w:r>
    </w:p>
    <w:p w14:paraId="6C51D712"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1AB4B671"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Por su parte, el artículo 61 del Código de Comercio establece el carácter reservado respecto de los libros y documentos del comerciante. De esta manera, los mismos no podrán ser examinados por personas diferentes a sus propietarios, o por los   organismos estatales y sujetos de revisoría fiscal o auditoría autorizadas para ello, so pena de incurrir en la sanción penal establecida en el artículo 62 del Código de Comercio.</w:t>
      </w:r>
    </w:p>
    <w:p w14:paraId="21C7CBEB"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08E6B910"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 xml:space="preserve">Ante lo expuesto, resulta claro que los administradores cuentan con la facultad de oposición ante la solicitud de examen por parte de sujetos distintos a los asociados o a las autoridades u órganos de revisoría y auditoría anotados, oposición que se extiende, incluso, respecto de </w:t>
      </w:r>
      <w:r w:rsidRPr="00D96C80">
        <w:rPr>
          <w:rFonts w:ascii="Verdana" w:eastAsia="Times New Roman" w:hAnsi="Verdana" w:cs="Times New Roman"/>
          <w:color w:val="000000"/>
          <w:kern w:val="0"/>
          <w:lang w:val="es-CO" w:eastAsia="es-MX"/>
          <w14:ligatures w14:val="none"/>
        </w:rPr>
        <w:lastRenderedPageBreak/>
        <w:t>quienes pretendan tal inspección acudiendo a la figura  de agencia oficiosa.</w:t>
      </w:r>
    </w:p>
    <w:p w14:paraId="16564141"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06121510" w14:textId="77777777" w:rsidR="00D96C80" w:rsidRPr="00D96C80" w:rsidRDefault="00D96C80" w:rsidP="00D96C80">
      <w:pPr>
        <w:jc w:val="both"/>
        <w:rPr>
          <w:rFonts w:ascii="Times New Roman" w:eastAsia="Times New Roman" w:hAnsi="Times New Roman" w:cs="Times New Roman"/>
          <w:kern w:val="0"/>
          <w:lang w:val="es-CO" w:eastAsia="es-MX"/>
          <w14:ligatures w14:val="none"/>
        </w:rPr>
      </w:pPr>
      <w:r w:rsidRPr="00D96C80">
        <w:rPr>
          <w:rFonts w:ascii="Verdana" w:eastAsia="Times New Roman" w:hAnsi="Verdana" w:cs="Times New Roman"/>
          <w:color w:val="000000"/>
          <w:kern w:val="0"/>
          <w:lang w:val="es-CO" w:eastAsia="es-MX"/>
          <w14:ligatures w14:val="none"/>
        </w:rPr>
        <w:t>De conformidad con lo expuesto, se respondió de manera cabal su consulta. Se reitera que los efectos del presente pronunciamiento son los descritos en el artículo 28 de la  Ley 1437 de 2011 y que en la página web de esta entidad puede consultar directamente la normatividad, así como los conceptos que la misma ha emitido sobre las materias de su competencia a través de Tesauro y la Circular Básica Jurídica, entre  otros documentos de consulta.</w:t>
      </w:r>
    </w:p>
    <w:p w14:paraId="7EBEADFF" w14:textId="77777777" w:rsidR="00D96C80" w:rsidRPr="00D96C80" w:rsidRDefault="00D96C80" w:rsidP="00D96C80">
      <w:pPr>
        <w:rPr>
          <w:rFonts w:ascii="Times New Roman" w:eastAsia="Times New Roman" w:hAnsi="Times New Roman" w:cs="Times New Roman"/>
          <w:kern w:val="0"/>
          <w:lang w:val="es-CO" w:eastAsia="es-MX"/>
          <w14:ligatures w14:val="none"/>
        </w:rPr>
      </w:pPr>
    </w:p>
    <w:p w14:paraId="02F7546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34845"/>
    <w:multiLevelType w:val="multilevel"/>
    <w:tmpl w:val="695A39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7F34F9"/>
    <w:multiLevelType w:val="multilevel"/>
    <w:tmpl w:val="E4CE2E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45F778E"/>
    <w:multiLevelType w:val="multilevel"/>
    <w:tmpl w:val="9CEC8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73597614">
    <w:abstractNumId w:val="2"/>
  </w:num>
  <w:num w:numId="2" w16cid:durableId="1385985237">
    <w:abstractNumId w:val="1"/>
    <w:lvlOverride w:ilvl="0">
      <w:lvl w:ilvl="0">
        <w:numFmt w:val="decimal"/>
        <w:lvlText w:val="%1."/>
        <w:lvlJc w:val="left"/>
      </w:lvl>
    </w:lvlOverride>
  </w:num>
  <w:num w:numId="3" w16cid:durableId="497114298">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C80"/>
    <w:rsid w:val="000B2285"/>
    <w:rsid w:val="00284D72"/>
    <w:rsid w:val="00537D8F"/>
    <w:rsid w:val="00B83A7B"/>
    <w:rsid w:val="00D96C80"/>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4E41F1B"/>
  <w14:defaultImageDpi w14:val="32767"/>
  <w15:chartTrackingRefBased/>
  <w15:docId w15:val="{E7A2C11C-77E7-4246-8D39-0EA2DFEC6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96C8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96C8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96C8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96C8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96C8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96C8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96C8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96C8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96C8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96C8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96C8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96C8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96C8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96C8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96C8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96C8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96C8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96C80"/>
    <w:rPr>
      <w:rFonts w:eastAsiaTheme="majorEastAsia" w:cstheme="majorBidi"/>
      <w:color w:val="272727" w:themeColor="text1" w:themeTint="D8"/>
    </w:rPr>
  </w:style>
  <w:style w:type="paragraph" w:styleId="Ttulo">
    <w:name w:val="Title"/>
    <w:basedOn w:val="Normal"/>
    <w:next w:val="Normal"/>
    <w:link w:val="TtuloCar"/>
    <w:uiPriority w:val="10"/>
    <w:qFormat/>
    <w:rsid w:val="00D96C8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96C8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96C8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96C8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96C8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96C80"/>
    <w:rPr>
      <w:i/>
      <w:iCs/>
      <w:color w:val="404040" w:themeColor="text1" w:themeTint="BF"/>
    </w:rPr>
  </w:style>
  <w:style w:type="paragraph" w:styleId="Prrafodelista">
    <w:name w:val="List Paragraph"/>
    <w:basedOn w:val="Normal"/>
    <w:uiPriority w:val="34"/>
    <w:qFormat/>
    <w:rsid w:val="00D96C80"/>
    <w:pPr>
      <w:ind w:left="720"/>
      <w:contextualSpacing/>
    </w:pPr>
  </w:style>
  <w:style w:type="character" w:styleId="nfasisintenso">
    <w:name w:val="Intense Emphasis"/>
    <w:basedOn w:val="Fuentedeprrafopredeter"/>
    <w:uiPriority w:val="21"/>
    <w:qFormat/>
    <w:rsid w:val="00D96C80"/>
    <w:rPr>
      <w:i/>
      <w:iCs/>
      <w:color w:val="2F5496" w:themeColor="accent1" w:themeShade="BF"/>
    </w:rPr>
  </w:style>
  <w:style w:type="paragraph" w:styleId="Citadestacada">
    <w:name w:val="Intense Quote"/>
    <w:basedOn w:val="Normal"/>
    <w:next w:val="Normal"/>
    <w:link w:val="CitadestacadaCar"/>
    <w:uiPriority w:val="30"/>
    <w:qFormat/>
    <w:rsid w:val="00D96C8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96C80"/>
    <w:rPr>
      <w:i/>
      <w:iCs/>
      <w:color w:val="2F5496" w:themeColor="accent1" w:themeShade="BF"/>
    </w:rPr>
  </w:style>
  <w:style w:type="character" w:styleId="Referenciaintensa">
    <w:name w:val="Intense Reference"/>
    <w:basedOn w:val="Fuentedeprrafopredeter"/>
    <w:uiPriority w:val="32"/>
    <w:qFormat/>
    <w:rsid w:val="00D96C80"/>
    <w:rPr>
      <w:b/>
      <w:bCs/>
      <w:smallCaps/>
      <w:color w:val="2F5496" w:themeColor="accent1" w:themeShade="BF"/>
      <w:spacing w:val="5"/>
    </w:rPr>
  </w:style>
  <w:style w:type="paragraph" w:styleId="NormalWeb">
    <w:name w:val="Normal (Web)"/>
    <w:basedOn w:val="Normal"/>
    <w:uiPriority w:val="99"/>
    <w:semiHidden/>
    <w:unhideWhenUsed/>
    <w:rsid w:val="00D96C8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96C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1036</Words>
  <Characters>5704</Characters>
  <Application>Microsoft Office Word</Application>
  <DocSecurity>0</DocSecurity>
  <Lines>47</Lines>
  <Paragraphs>13</Paragraphs>
  <ScaleCrop>false</ScaleCrop>
  <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2025-10-03T21:59:00Z</dcterms:created>
  <dcterms:modified xsi:type="dcterms:W3CDTF">2025-10-03T21:59:00Z</dcterms:modified>
</cp:coreProperties>
</file>