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1AC3D" w14:textId="77777777" w:rsidR="000768C2" w:rsidRPr="000768C2" w:rsidRDefault="000768C2" w:rsidP="000768C2">
      <w:pPr>
        <w:numPr>
          <w:ilvl w:val="0"/>
          <w:numId w:val="1"/>
        </w:numPr>
        <w:shd w:val="clear" w:color="auto" w:fill="F5F5F5"/>
        <w:spacing w:before="100" w:beforeAutospacing="1" w:after="100" w:afterAutospacing="1"/>
        <w:rPr>
          <w:rFonts w:ascii="Roboto Condensed" w:eastAsia="Times New Roman" w:hAnsi="Roboto Condensed" w:cs="Times New Roman"/>
          <w:i/>
          <w:iCs/>
          <w:color w:val="777777"/>
          <w:kern w:val="0"/>
          <w:sz w:val="19"/>
          <w:szCs w:val="19"/>
          <w:lang w:val="es-CO" w:eastAsia="es-MX"/>
          <w14:ligatures w14:val="none"/>
        </w:rPr>
      </w:pPr>
      <w:hyperlink r:id="rId5" w:history="1">
        <w:r w:rsidRPr="000768C2">
          <w:rPr>
            <w:rFonts w:ascii="Roboto Condensed" w:eastAsia="Times New Roman" w:hAnsi="Roboto Condensed" w:cs="Times New Roman"/>
            <w:i/>
            <w:iCs/>
            <w:color w:val="777777"/>
            <w:kern w:val="0"/>
            <w:sz w:val="19"/>
            <w:szCs w:val="19"/>
            <w:u w:val="single"/>
            <w:lang w:val="es-CO" w:eastAsia="es-MX"/>
            <w14:ligatures w14:val="none"/>
          </w:rPr>
          <w:t>Portal DIAN</w:t>
        </w:r>
      </w:hyperlink>
    </w:p>
    <w:p w14:paraId="4A7983D1" w14:textId="77777777" w:rsidR="000768C2" w:rsidRPr="000768C2" w:rsidRDefault="000768C2" w:rsidP="000768C2">
      <w:pPr>
        <w:numPr>
          <w:ilvl w:val="0"/>
          <w:numId w:val="1"/>
        </w:numPr>
        <w:shd w:val="clear" w:color="auto" w:fill="F5F5F5"/>
        <w:spacing w:before="100" w:beforeAutospacing="1" w:after="100" w:afterAutospacing="1"/>
        <w:rPr>
          <w:rFonts w:ascii="Roboto Condensed" w:eastAsia="Times New Roman" w:hAnsi="Roboto Condensed" w:cs="Times New Roman"/>
          <w:i/>
          <w:iCs/>
          <w:color w:val="777777"/>
          <w:kern w:val="0"/>
          <w:sz w:val="19"/>
          <w:szCs w:val="19"/>
          <w:lang w:val="es-CO" w:eastAsia="es-MX"/>
          <w14:ligatures w14:val="none"/>
        </w:rPr>
      </w:pPr>
      <w:hyperlink r:id="rId6" w:history="1">
        <w:r w:rsidRPr="000768C2">
          <w:rPr>
            <w:rFonts w:ascii="Roboto Condensed" w:eastAsia="Times New Roman" w:hAnsi="Roboto Condensed" w:cs="Times New Roman"/>
            <w:i/>
            <w:iCs/>
            <w:color w:val="777777"/>
            <w:kern w:val="0"/>
            <w:sz w:val="19"/>
            <w:szCs w:val="19"/>
            <w:u w:val="single"/>
            <w:lang w:val="es-CO" w:eastAsia="es-MX"/>
            <w14:ligatures w14:val="none"/>
          </w:rPr>
          <w:t>Prensa</w:t>
        </w:r>
      </w:hyperlink>
    </w:p>
    <w:p w14:paraId="32C2C9BC" w14:textId="77777777" w:rsidR="000768C2" w:rsidRPr="000768C2" w:rsidRDefault="000768C2" w:rsidP="000768C2">
      <w:pPr>
        <w:spacing w:before="150"/>
        <w:outlineLvl w:val="1"/>
        <w:rPr>
          <w:rFonts w:ascii="inherit" w:eastAsia="Times New Roman" w:hAnsi="inherit" w:cs="Times New Roman"/>
          <w:color w:val="454545"/>
          <w:kern w:val="0"/>
          <w:sz w:val="53"/>
          <w:szCs w:val="53"/>
          <w:shd w:val="clear" w:color="auto" w:fill="F3F3F3"/>
          <w:lang w:val="es-CO" w:eastAsia="es-MX"/>
          <w14:ligatures w14:val="none"/>
        </w:rPr>
      </w:pPr>
      <w:r w:rsidRPr="000768C2">
        <w:rPr>
          <w:rFonts w:ascii="inherit" w:eastAsia="Times New Roman" w:hAnsi="inherit" w:cs="Times New Roman"/>
          <w:color w:val="454545"/>
          <w:kern w:val="0"/>
          <w:sz w:val="53"/>
          <w:szCs w:val="53"/>
          <w:shd w:val="clear" w:color="auto" w:fill="F3F3F3"/>
          <w:lang w:val="es-CO" w:eastAsia="es-MX"/>
          <w14:ligatures w14:val="none"/>
        </w:rPr>
        <w:t>Comunicado de Prensa No. 091</w:t>
      </w:r>
    </w:p>
    <w:p w14:paraId="75C1FED8" w14:textId="77777777" w:rsidR="000768C2" w:rsidRPr="000768C2" w:rsidRDefault="000768C2" w:rsidP="000768C2">
      <w:pPr>
        <w:spacing w:before="105" w:after="105"/>
        <w:outlineLvl w:val="4"/>
        <w:rPr>
          <w:rFonts w:ascii="inherit" w:eastAsia="Times New Roman" w:hAnsi="inherit" w:cs="Times New Roman"/>
          <w:color w:val="999999"/>
          <w:kern w:val="0"/>
          <w:sz w:val="19"/>
          <w:szCs w:val="19"/>
          <w:shd w:val="clear" w:color="auto" w:fill="F3F3F3"/>
          <w:lang w:val="es-CO" w:eastAsia="es-MX"/>
          <w14:ligatures w14:val="none"/>
        </w:rPr>
      </w:pPr>
      <w:r w:rsidRPr="000768C2">
        <w:rPr>
          <w:rFonts w:ascii="inherit" w:eastAsia="Times New Roman" w:hAnsi="inherit" w:cs="Times New Roman"/>
          <w:color w:val="999999"/>
          <w:kern w:val="0"/>
          <w:sz w:val="19"/>
          <w:szCs w:val="19"/>
          <w:shd w:val="clear" w:color="auto" w:fill="F3F3F3"/>
          <w:lang w:val="es-CO" w:eastAsia="es-MX"/>
          <w14:ligatures w14:val="none"/>
        </w:rPr>
        <w:t>15/10/2025 </w:t>
      </w:r>
      <w:r w:rsidRPr="000768C2">
        <w:rPr>
          <w:rFonts w:ascii="Roboto Condensed" w:eastAsia="Times New Roman" w:hAnsi="Roboto Condensed" w:cs="Times New Roman"/>
          <w:color w:val="999999"/>
          <w:kern w:val="0"/>
          <w:sz w:val="19"/>
          <w:szCs w:val="19"/>
          <w:shd w:val="clear" w:color="auto" w:fill="F3F3F3"/>
          <w:lang w:val="es-CO" w:eastAsia="es-MX"/>
          <w14:ligatures w14:val="none"/>
        </w:rPr>
        <w:t>| Bogotá, D.C.</w:t>
      </w:r>
    </w:p>
    <w:p w14:paraId="2E5AA499" w14:textId="1542AD90" w:rsidR="000768C2" w:rsidRPr="000768C2" w:rsidRDefault="000768C2" w:rsidP="000768C2">
      <w:pPr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fldChar w:fldCharType="begin"/>
      </w: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instrText xml:space="preserve"> INCLUDEPICTURE "https://www.dian.gov.co/Prensa/PublishingImages/2025/1110-15102025.jpg" \* MERGEFORMATINET </w:instrText>
      </w: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fldChar w:fldCharType="separate"/>
      </w:r>
      <w:r w:rsidRPr="000768C2">
        <w:rPr>
          <w:rFonts w:ascii="Roboto Condensed" w:eastAsia="Times New Roman" w:hAnsi="Roboto Condensed" w:cs="Times New Roman"/>
          <w:noProof/>
          <w:color w:val="454545"/>
          <w:kern w:val="0"/>
          <w:shd w:val="clear" w:color="auto" w:fill="F3F3F3"/>
          <w:lang w:val="es-CO" w:eastAsia="es-MX"/>
          <w14:ligatures w14:val="none"/>
        </w:rPr>
        <w:drawing>
          <wp:inline distT="0" distB="0" distL="0" distR="0" wp14:anchorId="022749AA" wp14:editId="6FE091B5">
            <wp:extent cx="5612130" cy="1920875"/>
            <wp:effectExtent l="0" t="0" r="1270" b="0"/>
            <wp:docPr id="48044343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92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fldChar w:fldCharType="end"/>
      </w:r>
    </w:p>
    <w:p w14:paraId="66694C49" w14:textId="77777777" w:rsidR="000768C2" w:rsidRPr="000768C2" w:rsidRDefault="000768C2" w:rsidP="000768C2">
      <w:pPr>
        <w:spacing w:before="105" w:after="225"/>
        <w:outlineLvl w:val="2"/>
        <w:rPr>
          <w:rFonts w:ascii="inherit" w:eastAsia="Times New Roman" w:hAnsi="inherit" w:cs="Times New Roman"/>
          <w:color w:val="454545"/>
          <w:kern w:val="0"/>
          <w:sz w:val="36"/>
          <w:szCs w:val="36"/>
          <w:shd w:val="clear" w:color="auto" w:fill="F3F3F3"/>
          <w:lang w:val="es-CO" w:eastAsia="es-MX"/>
          <w14:ligatures w14:val="none"/>
        </w:rPr>
      </w:pPr>
      <w:r w:rsidRPr="000768C2">
        <w:rPr>
          <w:rFonts w:ascii="inherit" w:eastAsia="Times New Roman" w:hAnsi="inherit" w:cs="Times New Roman"/>
          <w:color w:val="454545"/>
          <w:kern w:val="0"/>
          <w:sz w:val="36"/>
          <w:szCs w:val="36"/>
          <w:shd w:val="clear" w:color="auto" w:fill="F3F3F3"/>
          <w:lang w:val="es-CO" w:eastAsia="es-MX"/>
          <w14:ligatures w14:val="none"/>
        </w:rPr>
        <w:t>En la mira de la DIAN 2.270 posibles proveedores ficticios.</w:t>
      </w:r>
    </w:p>
    <w:p w14:paraId="70A06A07" w14:textId="77777777" w:rsidR="000768C2" w:rsidRPr="000768C2" w:rsidRDefault="000768C2" w:rsidP="000768C2">
      <w:pPr>
        <w:numPr>
          <w:ilvl w:val="0"/>
          <w:numId w:val="2"/>
        </w:numPr>
        <w:spacing w:before="100" w:beforeAutospacing="1" w:after="100" w:afterAutospacing="1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b/>
          <w:bCs/>
          <w:i/>
          <w:iCs/>
          <w:color w:val="454545"/>
          <w:kern w:val="0"/>
          <w:shd w:val="clear" w:color="auto" w:fill="F3F3F3"/>
          <w:lang w:val="es-CO" w:eastAsia="es-MX"/>
          <w14:ligatures w14:val="none"/>
        </w:rPr>
        <w:t>En los últimos cinco años la DIAN ha declarado y sancionado a 310 contribuyentes como proveedores ficticios, 169 de ellos entre enero de 2023 y octubre de 2025. </w:t>
      </w:r>
    </w:p>
    <w:p w14:paraId="551082C1" w14:textId="77777777" w:rsidR="000768C2" w:rsidRPr="000768C2" w:rsidRDefault="000768C2" w:rsidP="000768C2">
      <w:pPr>
        <w:numPr>
          <w:ilvl w:val="0"/>
          <w:numId w:val="3"/>
        </w:numPr>
        <w:spacing w:before="100" w:beforeAutospacing="1" w:after="100" w:afterAutospacing="1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b/>
          <w:bCs/>
          <w:i/>
          <w:iCs/>
          <w:color w:val="454545"/>
          <w:kern w:val="0"/>
          <w:shd w:val="clear" w:color="auto" w:fill="F3F3F3"/>
          <w:lang w:val="es-CO" w:eastAsia="es-MX"/>
          <w14:ligatures w14:val="none"/>
        </w:rPr>
        <w:t>La DIAN viene adelantando acciones persuasivas a 3.638 contribuyentes que tienen transacciones con proveedores ficticios.</w:t>
      </w:r>
    </w:p>
    <w:p w14:paraId="75751BD3" w14:textId="77777777" w:rsidR="000768C2" w:rsidRPr="000768C2" w:rsidRDefault="000768C2" w:rsidP="000768C2">
      <w:pPr>
        <w:numPr>
          <w:ilvl w:val="0"/>
          <w:numId w:val="4"/>
        </w:numPr>
        <w:spacing w:before="100" w:beforeAutospacing="1" w:after="100" w:afterAutospacing="1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b/>
          <w:bCs/>
          <w:i/>
          <w:iCs/>
          <w:color w:val="454545"/>
          <w:kern w:val="0"/>
          <w:shd w:val="clear" w:color="auto" w:fill="F3F3F3"/>
          <w:lang w:val="es-CO" w:eastAsia="es-MX"/>
          <w14:ligatures w14:val="none"/>
        </w:rPr>
        <w:t>Investigaciones de la POLFA y la Fiscalía han permitido la captura de 27 personas por orden judicial y la aplicación de medida cautelar de extinción de dominio a 40 bienes inmuebles avaluados en 27.5 millones de dólares. </w:t>
      </w:r>
    </w:p>
    <w:p w14:paraId="28B95534" w14:textId="77777777" w:rsidR="000768C2" w:rsidRPr="000768C2" w:rsidRDefault="000768C2" w:rsidP="000768C2">
      <w:p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b/>
          <w:bCs/>
          <w:color w:val="454545"/>
          <w:kern w:val="0"/>
          <w:shd w:val="clear" w:color="auto" w:fill="F3F3F3"/>
          <w:lang w:val="es-CO" w:eastAsia="es-MX"/>
          <w14:ligatures w14:val="none"/>
        </w:rPr>
        <w:t>Bogotá D.C., 15 de octubre de 2025</w:t>
      </w:r>
    </w:p>
    <w:p w14:paraId="690686C7" w14:textId="77777777" w:rsidR="000768C2" w:rsidRPr="000768C2" w:rsidRDefault="000768C2" w:rsidP="000768C2">
      <w:p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A partir de 8.626 visitas de control realizadas en el tercer trimestre de 2025 por la Dirección de Impuestos y Aduanas Nacionales (DIAN) para verificar la obligación de facturar electrónicamente, se pudo evidenciar a </w:t>
      </w:r>
      <w:r w:rsidRPr="000768C2">
        <w:rPr>
          <w:rFonts w:ascii="Roboto Condensed" w:eastAsia="Times New Roman" w:hAnsi="Roboto Condensed" w:cs="Times New Roman"/>
          <w:b/>
          <w:bCs/>
          <w:color w:val="454545"/>
          <w:kern w:val="0"/>
          <w:shd w:val="clear" w:color="auto" w:fill="F3F3F3"/>
          <w:lang w:val="es-CO" w:eastAsia="es-MX"/>
          <w14:ligatures w14:val="none"/>
        </w:rPr>
        <w:t>2.270 posibles proveedores ficticios </w:t>
      </w: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que están en la mira de la entidad. Estos se sumarán a los </w:t>
      </w:r>
      <w:r w:rsidRPr="000768C2">
        <w:rPr>
          <w:rFonts w:ascii="Roboto Condensed" w:eastAsia="Times New Roman" w:hAnsi="Roboto Condensed" w:cs="Times New Roman"/>
          <w:b/>
          <w:bCs/>
          <w:color w:val="454545"/>
          <w:kern w:val="0"/>
          <w:shd w:val="clear" w:color="auto" w:fill="F3F3F3"/>
          <w:lang w:val="es-CO" w:eastAsia="es-MX"/>
          <w14:ligatures w14:val="none"/>
        </w:rPr>
        <w:t>425 a quienes actualmente se les adelanta investigación por estos hechos</w:t>
      </w: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, conforme al artículo 671 del Estatuto Tributario. </w:t>
      </w:r>
    </w:p>
    <w:p w14:paraId="3A6D66CC" w14:textId="77777777" w:rsidR="000768C2" w:rsidRPr="000768C2" w:rsidRDefault="000768C2" w:rsidP="000768C2">
      <w:p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“La Entidad advierte a los contribuyentes que no es válido soportar costos, gastos ni impuestos descontables con facturas emitidas por personas naturales o entidades declaradas como proveedores ficticios, por el contrario, la invitación es a denunciar a través del Sistema de Denuncias de Fiscalización en nuestro portal institucional", aseguró Luis Eduardo Llinás Chica, director general encargado de la DIAN. </w:t>
      </w:r>
    </w:p>
    <w:p w14:paraId="120D662C" w14:textId="77777777" w:rsidR="000768C2" w:rsidRPr="000768C2" w:rsidRDefault="000768C2" w:rsidP="000768C2">
      <w:p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lastRenderedPageBreak/>
        <w:t>De otra parte, para que corrijan de manera voluntaria las inconsistencias que presentan sus declaraciones, la entidad viene adelantando acciones persuasivas a 3.638 contribuyentes que tienen transacciones con proveedores ficticios. En los últimos cinco años la DIAN ha declarado y sancionado a 364 contribuyentes como proveedores ficticios, 169 de ellos entre enero de 2023 y octubre de 2025.</w:t>
      </w:r>
      <w:r w:rsidRPr="000768C2">
        <w:rPr>
          <w:rFonts w:ascii="Roboto Condensed" w:eastAsia="Times New Roman" w:hAnsi="Roboto Condensed" w:cs="Times New Roman"/>
          <w:b/>
          <w:bCs/>
          <w:color w:val="454545"/>
          <w:kern w:val="0"/>
          <w:shd w:val="clear" w:color="auto" w:fill="F3F3F3"/>
          <w:lang w:val="es-CO" w:eastAsia="es-MX"/>
          <w14:ligatures w14:val="none"/>
        </w:rPr>
        <w:t> </w:t>
      </w:r>
    </w:p>
    <w:p w14:paraId="27155318" w14:textId="77777777" w:rsidR="000768C2" w:rsidRPr="000768C2" w:rsidRDefault="000768C2" w:rsidP="000768C2">
      <w:p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Con el propósito de cerrar espacios de evasión asociados a la facturación electrónica, la DIAN despliega una estrategia integral que articula prevención y transparencia, con acciones como: orientación al contribuyente y alertas tempranas; control para identificar emisores y redes sin soporte real, y sanción mediante auditorías focalizadas. Igualmente, con la publicación y actualización del </w:t>
      </w:r>
      <w:hyperlink r:id="rId8" w:tgtFrame="_blank" w:history="1">
        <w:r w:rsidRPr="000768C2">
          <w:rPr>
            <w:rFonts w:ascii="Roboto Condensed" w:eastAsia="Times New Roman" w:hAnsi="Roboto Condensed" w:cs="Times New Roman"/>
            <w:color w:val="008C3E"/>
            <w:kern w:val="0"/>
            <w:u w:val="single"/>
            <w:lang w:val="es-CO" w:eastAsia="es-MX"/>
            <w14:ligatures w14:val="none"/>
          </w:rPr>
          <w:t>Listado de proveedores ficticios</w:t>
        </w:r>
      </w:hyperlink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, disponible en el portal institucional. </w:t>
      </w:r>
    </w:p>
    <w:p w14:paraId="78218087" w14:textId="77777777" w:rsidR="000768C2" w:rsidRPr="000768C2" w:rsidRDefault="000768C2" w:rsidP="000768C2">
      <w:p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Por lo anterior, la DIAN invita a la ciudadanía a identificar y prevenir estos riesgos de la siguiente forma:</w:t>
      </w:r>
    </w:p>
    <w:p w14:paraId="384CBFD1" w14:textId="77777777" w:rsidR="000768C2" w:rsidRPr="000768C2" w:rsidRDefault="000768C2" w:rsidP="000768C2">
      <w:pPr>
        <w:numPr>
          <w:ilvl w:val="0"/>
          <w:numId w:val="5"/>
        </w:num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Verifique a su contraparte antes de contratar o recibir facturas, consultando el Listado Público de Proveedores Ficticios disponible en: </w:t>
      </w:r>
      <w:hyperlink r:id="rId9" w:tgtFrame="_blank" w:history="1">
        <w:r w:rsidRPr="000768C2">
          <w:rPr>
            <w:rFonts w:ascii="Roboto Condensed" w:eastAsia="Times New Roman" w:hAnsi="Roboto Condensed" w:cs="Times New Roman"/>
            <w:color w:val="008C3E"/>
            <w:kern w:val="0"/>
            <w:u w:val="single"/>
            <w:lang w:val="es-CO" w:eastAsia="es-MX"/>
            <w14:ligatures w14:val="none"/>
          </w:rPr>
          <w:t>https://www.dian.gov.co/Proveedores_Ficticios/Proveedores-Ficticios-09102025.pdf</w:t>
        </w:r>
      </w:hyperlink>
    </w:p>
    <w:p w14:paraId="736789AB" w14:textId="77777777" w:rsidR="000768C2" w:rsidRPr="000768C2" w:rsidRDefault="000768C2" w:rsidP="000768C2">
      <w:pPr>
        <w:numPr>
          <w:ilvl w:val="0"/>
          <w:numId w:val="5"/>
        </w:num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Haga la debida diligencia de su contraparte y evite riesgos de lavado de activos.</w:t>
      </w:r>
    </w:p>
    <w:p w14:paraId="66194FAB" w14:textId="77777777" w:rsidR="000768C2" w:rsidRPr="000768C2" w:rsidRDefault="000768C2" w:rsidP="000768C2">
      <w:pPr>
        <w:numPr>
          <w:ilvl w:val="0"/>
          <w:numId w:val="5"/>
        </w:num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Confirme la habilitación del emisor de facturación electrónica y la existencia de soportes reales de la operación.</w:t>
      </w:r>
    </w:p>
    <w:p w14:paraId="74123832" w14:textId="77777777" w:rsidR="000768C2" w:rsidRPr="000768C2" w:rsidRDefault="000768C2" w:rsidP="000768C2">
      <w:p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Si reconoce posibles proveedores ficticios, puede denunciar de forma segura a través del Sistema de Denuncias de Fiscalización en</w:t>
      </w: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br/>
      </w:r>
      <w:hyperlink r:id="rId10" w:history="1">
        <w:r w:rsidRPr="000768C2">
          <w:rPr>
            <w:rFonts w:ascii="Roboto Condensed" w:eastAsia="Times New Roman" w:hAnsi="Roboto Condensed" w:cs="Times New Roman"/>
            <w:color w:val="008C3E"/>
            <w:kern w:val="0"/>
            <w:u w:val="single"/>
            <w:lang w:val="es-CO" w:eastAsia="es-MX"/>
            <w14:ligatures w14:val="none"/>
          </w:rPr>
          <w:t>https://www.dian.gov.co/atencionciudadano/PQSRD/Paginas/Inicio.aspx</w:t>
        </w:r>
      </w:hyperlink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   </w:t>
      </w:r>
    </w:p>
    <w:p w14:paraId="7A02D7A3" w14:textId="77777777" w:rsidR="000768C2" w:rsidRPr="000768C2" w:rsidRDefault="000768C2" w:rsidP="000768C2">
      <w:p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b/>
          <w:bCs/>
          <w:color w:val="454545"/>
          <w:kern w:val="0"/>
          <w:shd w:val="clear" w:color="auto" w:fill="F3F3F3"/>
          <w:lang w:val="es-CO" w:eastAsia="es-MX"/>
          <w14:ligatures w14:val="none"/>
        </w:rPr>
        <w:t>Resultados frente a estas conductas</w:t>
      </w:r>
    </w:p>
    <w:p w14:paraId="5A17839F" w14:textId="77777777" w:rsidR="000768C2" w:rsidRPr="000768C2" w:rsidRDefault="000768C2" w:rsidP="000768C2">
      <w:p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La Dirección de Gestión de Policía Fiscal y Aduanera de la DIAN, en coordinación con la Fiscalía General de la Nación, logró la desarticulación de una organización criminal dedicada a la expedición de facturas falsas a través de empresas de papel, las cuales soportaban operaciones simuladas de compra y venta de activos y/o servicios a favor de otras personas naturales o jurídicas legalmente constituidas, con el fin de que estas últimas se apropiaran del impuesto sobre las ventas (IVA) o disminuyeran la base gravable del impuesto sobre la renta.</w:t>
      </w:r>
    </w:p>
    <w:p w14:paraId="53214AE5" w14:textId="77777777" w:rsidR="000768C2" w:rsidRPr="000768C2" w:rsidRDefault="000768C2" w:rsidP="000768C2">
      <w:p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Durante este proceso investigativo se logró la captura de 27 personas por orden judicial y la aplicación de medida cautelar de extinción de dominio a 40 bienes inmuebles avaluados en 27.5 millones de dólares. </w:t>
      </w:r>
    </w:p>
    <w:p w14:paraId="3F430EC1" w14:textId="77777777" w:rsidR="000768C2" w:rsidRPr="000768C2" w:rsidRDefault="000768C2" w:rsidP="000768C2">
      <w:pPr>
        <w:spacing w:after="300"/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</w:pPr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Descargue </w:t>
      </w:r>
      <w:hyperlink r:id="rId11" w:tgtFrame="_blank" w:history="1">
        <w:r w:rsidRPr="000768C2">
          <w:rPr>
            <w:rFonts w:ascii="Roboto Condensed" w:eastAsia="Times New Roman" w:hAnsi="Roboto Condensed" w:cs="Times New Roman"/>
            <w:color w:val="008C3E"/>
            <w:kern w:val="0"/>
            <w:u w:val="single"/>
            <w:lang w:val="es-CO" w:eastAsia="es-MX"/>
            <w14:ligatures w14:val="none"/>
          </w:rPr>
          <w:t>aquí</w:t>
        </w:r>
      </w:hyperlink>
      <w:r w:rsidRPr="000768C2">
        <w:rPr>
          <w:rFonts w:ascii="Roboto Condensed" w:eastAsia="Times New Roman" w:hAnsi="Roboto Condensed" w:cs="Times New Roman"/>
          <w:color w:val="454545"/>
          <w:kern w:val="0"/>
          <w:shd w:val="clear" w:color="auto" w:fill="F3F3F3"/>
          <w:lang w:val="es-CO" w:eastAsia="es-MX"/>
          <w14:ligatures w14:val="none"/>
        </w:rPr>
        <w:t> el Comunicado de Prensa.</w:t>
      </w:r>
    </w:p>
    <w:p w14:paraId="7202F7FB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boto Condensed">
    <w:panose1 w:val="020B0604020202020204"/>
    <w:charset w:val="00"/>
    <w:family w:val="auto"/>
    <w:pitch w:val="variable"/>
    <w:sig w:usb0="E0000AFF" w:usb1="5000217F" w:usb2="00000021" w:usb3="00000000" w:csb0="0000019F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229DD"/>
    <w:multiLevelType w:val="multilevel"/>
    <w:tmpl w:val="9C6C4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873806"/>
    <w:multiLevelType w:val="multilevel"/>
    <w:tmpl w:val="0FF0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D15096"/>
    <w:multiLevelType w:val="multilevel"/>
    <w:tmpl w:val="7CBCD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0A3EE2"/>
    <w:multiLevelType w:val="multilevel"/>
    <w:tmpl w:val="31BEB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5E82333"/>
    <w:multiLevelType w:val="multilevel"/>
    <w:tmpl w:val="4D2C1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2864827">
    <w:abstractNumId w:val="2"/>
  </w:num>
  <w:num w:numId="2" w16cid:durableId="223756479">
    <w:abstractNumId w:val="0"/>
  </w:num>
  <w:num w:numId="3" w16cid:durableId="263005472">
    <w:abstractNumId w:val="1"/>
  </w:num>
  <w:num w:numId="4" w16cid:durableId="1171991833">
    <w:abstractNumId w:val="4"/>
  </w:num>
  <w:num w:numId="5" w16cid:durableId="17997568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8C2"/>
    <w:rsid w:val="000768C2"/>
    <w:rsid w:val="000B2285"/>
    <w:rsid w:val="00537D8F"/>
    <w:rsid w:val="00956539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166EC8"/>
  <w14:defaultImageDpi w14:val="32767"/>
  <w15:chartTrackingRefBased/>
  <w15:docId w15:val="{2EFA4836-23EF-D14F-99EB-5B1821B6F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768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768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768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768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0768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768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768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768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768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768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0768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0768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768C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0768C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768C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768C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768C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768C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768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768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768C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768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768C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768C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768C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768C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768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768C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768C2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semiHidden/>
    <w:unhideWhenUsed/>
    <w:rsid w:val="000768C2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0768C2"/>
    <w:rPr>
      <w:b/>
      <w:bCs/>
    </w:rPr>
  </w:style>
  <w:style w:type="character" w:styleId="nfasis">
    <w:name w:val="Emphasis"/>
    <w:basedOn w:val="Fuentedeprrafopredeter"/>
    <w:uiPriority w:val="20"/>
    <w:qFormat/>
    <w:rsid w:val="000768C2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0768C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an.gov.co/Proveedores_Ficticios/Proveedores-Ficticios-09102025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ian.gov.co/Prensa" TargetMode="External"/><Relationship Id="rId11" Type="http://schemas.openxmlformats.org/officeDocument/2006/relationships/hyperlink" Target="https://www.dian.gov.co/Prensa/ComunicadosPrensa/091-En-la-mira-de-la-DIAN-2270-posibles-proveedores-ficticios.zip" TargetMode="External"/><Relationship Id="rId5" Type="http://schemas.openxmlformats.org/officeDocument/2006/relationships/hyperlink" Target="https://www.dian.gov.co/" TargetMode="External"/><Relationship Id="rId10" Type="http://schemas.openxmlformats.org/officeDocument/2006/relationships/hyperlink" Target="https://www.dian.gov.co/atencionciudadano/PQSRD/Paginas/Inicio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ian.gov.co/Proveedores_Ficticios/Proveedores-Ficticios-09102025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706</Words>
  <Characters>3884</Characters>
  <Application>Microsoft Office Word</Application>
  <DocSecurity>0</DocSecurity>
  <Lines>32</Lines>
  <Paragraphs>9</Paragraphs>
  <ScaleCrop>false</ScaleCrop>
  <Company/>
  <LinksUpToDate>false</LinksUpToDate>
  <CharactersWithSpaces>4581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2025-10-23T15:37:00Z</dcterms:created>
  <dcterms:modified xsi:type="dcterms:W3CDTF">2025-10-23T15:38:00Z</dcterms:modified>
</cp:coreProperties>
</file>