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342E3"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b/>
          <w:bCs/>
          <w:color w:val="000000"/>
          <w:kern w:val="0"/>
          <w:lang w:val="es-CO" w:eastAsia="es-MX"/>
          <w14:ligatures w14:val="none"/>
        </w:rPr>
        <w:t>COMUNICADO DE PRENSA 96 DEL 28 DE OCTUBRE DE 2025</w:t>
      </w:r>
    </w:p>
    <w:p w14:paraId="4FD9C4F9"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b/>
          <w:bCs/>
          <w:color w:val="000000"/>
          <w:kern w:val="0"/>
          <w:lang w:val="es-CO" w:eastAsia="es-MX"/>
          <w14:ligatures w14:val="none"/>
        </w:rPr>
        <w:t>DIRECCIÓN DE IMPUESTOS Y ADUANAS NACIONALES</w:t>
      </w:r>
    </w:p>
    <w:p w14:paraId="70665B5F"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1CC4054"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28/10/2025 | Bogotá, D.C.</w:t>
      </w:r>
    </w:p>
    <w:p w14:paraId="33CC90E3" w14:textId="2AB7D0BC"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2AD4A965" wp14:editId="705291FF">
            <wp:extent cx="5608320" cy="1920240"/>
            <wp:effectExtent l="0" t="0" r="5080" b="0"/>
            <wp:docPr id="8088305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08320" cy="1920240"/>
                    </a:xfrm>
                    <a:prstGeom prst="rect">
                      <a:avLst/>
                    </a:prstGeom>
                    <a:noFill/>
                    <a:ln>
                      <a:noFill/>
                    </a:ln>
                  </pic:spPr>
                </pic:pic>
              </a:graphicData>
            </a:graphic>
          </wp:inline>
        </w:drawing>
      </w:r>
    </w:p>
    <w:p w14:paraId="49DF1B0C"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0F1D793F"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DIAN le cumplió al país: con éxito culminó calendario de vencimientos de renta personas naturales año gravable 2024.</w:t>
      </w:r>
    </w:p>
    <w:p w14:paraId="78C13036" w14:textId="77777777" w:rsidR="004D5E62" w:rsidRPr="004D5E62" w:rsidRDefault="004D5E62" w:rsidP="004D5E62">
      <w:pPr>
        <w:rPr>
          <w:rFonts w:ascii="Times New Roman" w:eastAsia="Times New Roman" w:hAnsi="Times New Roman" w:cs="Times New Roman"/>
          <w:kern w:val="0"/>
          <w:lang w:val="es-CO" w:eastAsia="es-MX"/>
          <w14:ligatures w14:val="none"/>
        </w:rPr>
      </w:pPr>
      <w:r w:rsidRPr="004D5E62">
        <w:rPr>
          <w:rFonts w:ascii="Times New Roman" w:eastAsia="Times New Roman" w:hAnsi="Times New Roman" w:cs="Times New Roman"/>
          <w:kern w:val="0"/>
          <w:lang w:val="es-CO" w:eastAsia="es-MX"/>
          <w14:ligatures w14:val="none"/>
        </w:rPr>
        <w:br/>
      </w:r>
    </w:p>
    <w:p w14:paraId="26638F04" w14:textId="77777777" w:rsidR="004D5E62" w:rsidRPr="004D5E62" w:rsidRDefault="004D5E62" w:rsidP="004D5E62">
      <w:pPr>
        <w:numPr>
          <w:ilvl w:val="0"/>
          <w:numId w:val="1"/>
        </w:numPr>
        <w:ind w:left="360"/>
        <w:jc w:val="both"/>
        <w:textAlignment w:val="baseline"/>
        <w:rPr>
          <w:rFonts w:ascii="Verdana" w:eastAsia="Times New Roman" w:hAnsi="Verdana" w:cs="Times New Roman"/>
          <w:color w:val="000000"/>
          <w:kern w:val="0"/>
          <w:sz w:val="20"/>
          <w:szCs w:val="20"/>
          <w:lang w:val="es-CO" w:eastAsia="es-MX"/>
          <w14:ligatures w14:val="none"/>
        </w:rPr>
      </w:pPr>
      <w:r w:rsidRPr="004D5E62">
        <w:rPr>
          <w:rFonts w:ascii="Verdana" w:eastAsia="Times New Roman" w:hAnsi="Verdana" w:cs="Times New Roman"/>
          <w:b/>
          <w:bCs/>
          <w:i/>
          <w:iCs/>
          <w:color w:val="000000"/>
          <w:kern w:val="0"/>
          <w:lang w:val="es-CO" w:eastAsia="es-MX"/>
          <w14:ligatures w14:val="none"/>
        </w:rPr>
        <w:t>Más de 6.5 millones de personas naturales presentaron su declaración de renta, obteniendo un recaudo de $23.6 billones.</w:t>
      </w:r>
    </w:p>
    <w:p w14:paraId="5472489F" w14:textId="77777777" w:rsidR="004D5E62" w:rsidRPr="004D5E62" w:rsidRDefault="004D5E62" w:rsidP="004D5E62">
      <w:pPr>
        <w:numPr>
          <w:ilvl w:val="0"/>
          <w:numId w:val="2"/>
        </w:numPr>
        <w:ind w:left="360"/>
        <w:jc w:val="both"/>
        <w:textAlignment w:val="baseline"/>
        <w:rPr>
          <w:rFonts w:ascii="Verdana" w:eastAsia="Times New Roman" w:hAnsi="Verdana" w:cs="Times New Roman"/>
          <w:color w:val="000000"/>
          <w:kern w:val="0"/>
          <w:sz w:val="20"/>
          <w:szCs w:val="20"/>
          <w:lang w:val="es-CO" w:eastAsia="es-MX"/>
          <w14:ligatures w14:val="none"/>
        </w:rPr>
      </w:pPr>
      <w:r w:rsidRPr="004D5E62">
        <w:rPr>
          <w:rFonts w:ascii="Verdana" w:eastAsia="Times New Roman" w:hAnsi="Verdana" w:cs="Times New Roman"/>
          <w:b/>
          <w:bCs/>
          <w:i/>
          <w:iCs/>
          <w:color w:val="000000"/>
          <w:kern w:val="0"/>
          <w:lang w:val="es-CO" w:eastAsia="es-MX"/>
          <w14:ligatures w14:val="none"/>
        </w:rPr>
        <w:t>El uso de los canales virtuales, las herramientas y declaraciones sugeridas y dispuestas por la DIAN incrementó, ratificando la confianza por parte de los ciudadanos.</w:t>
      </w:r>
    </w:p>
    <w:p w14:paraId="3F58D022" w14:textId="77777777" w:rsidR="004D5E62" w:rsidRPr="004D5E62" w:rsidRDefault="004D5E62" w:rsidP="004D5E62">
      <w:pPr>
        <w:numPr>
          <w:ilvl w:val="0"/>
          <w:numId w:val="3"/>
        </w:numPr>
        <w:ind w:left="360"/>
        <w:jc w:val="both"/>
        <w:textAlignment w:val="baseline"/>
        <w:rPr>
          <w:rFonts w:ascii="Verdana" w:eastAsia="Times New Roman" w:hAnsi="Verdana" w:cs="Times New Roman"/>
          <w:color w:val="000000"/>
          <w:kern w:val="0"/>
          <w:sz w:val="20"/>
          <w:szCs w:val="20"/>
          <w:lang w:val="es-CO" w:eastAsia="es-MX"/>
          <w14:ligatures w14:val="none"/>
        </w:rPr>
      </w:pPr>
      <w:r w:rsidRPr="004D5E62">
        <w:rPr>
          <w:rFonts w:ascii="Verdana" w:eastAsia="Times New Roman" w:hAnsi="Verdana" w:cs="Times New Roman"/>
          <w:b/>
          <w:bCs/>
          <w:i/>
          <w:iCs/>
          <w:color w:val="000000"/>
          <w:kern w:val="0"/>
          <w:lang w:val="es-CO" w:eastAsia="es-MX"/>
          <w14:ligatures w14:val="none"/>
        </w:rPr>
        <w:t xml:space="preserve">Más de 800 funcionarios en puntos de contacto y </w:t>
      </w:r>
      <w:proofErr w:type="spellStart"/>
      <w:r w:rsidRPr="004D5E62">
        <w:rPr>
          <w:rFonts w:ascii="Verdana" w:eastAsia="Times New Roman" w:hAnsi="Verdana" w:cs="Times New Roman"/>
          <w:b/>
          <w:bCs/>
          <w:i/>
          <w:iCs/>
          <w:color w:val="000000"/>
          <w:kern w:val="0"/>
          <w:lang w:val="es-CO" w:eastAsia="es-MX"/>
          <w14:ligatures w14:val="none"/>
        </w:rPr>
        <w:t>contact</w:t>
      </w:r>
      <w:proofErr w:type="spellEnd"/>
      <w:r w:rsidRPr="004D5E62">
        <w:rPr>
          <w:rFonts w:ascii="Verdana" w:eastAsia="Times New Roman" w:hAnsi="Verdana" w:cs="Times New Roman"/>
          <w:b/>
          <w:bCs/>
          <w:i/>
          <w:iCs/>
          <w:color w:val="000000"/>
          <w:kern w:val="0"/>
          <w:lang w:val="es-CO" w:eastAsia="es-MX"/>
          <w14:ligatures w14:val="none"/>
        </w:rPr>
        <w:t xml:space="preserve"> center, orientaron y acompañaron a más de 513 mil ciudadanos en la gestión de más de 834 mil transacciones. </w:t>
      </w:r>
    </w:p>
    <w:p w14:paraId="4D35700F"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1618C2C6"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b/>
          <w:bCs/>
          <w:color w:val="000000"/>
          <w:kern w:val="0"/>
          <w:lang w:val="es-CO" w:eastAsia="es-MX"/>
          <w14:ligatures w14:val="none"/>
        </w:rPr>
        <w:t>Bogotá, D.C., 28 de octubre de 2025. </w:t>
      </w:r>
    </w:p>
    <w:p w14:paraId="4EF4D8CE"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22E3D7D"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Con un proceso eficiente, estable y sin contingencias por indisponibilidad del sistema, la Dirección de Impuestos y Aduanas Nacionales (DIAN) le cumplió al país y cerró con éxito el calendario de vencimientos para la presentación de la declaración de renta de personas naturales, correspondiente al año gravable 2024.</w:t>
      </w:r>
    </w:p>
    <w:p w14:paraId="62F9B867"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1243903"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“Entre el 12 de agosto y el 24 de octubre, la plataforma de la entidad recibió 6.521.502 declaraciones de renta, de las cuales 763.036 son de contribuyentes que presentaron su declaración por primera vez, obteniendo un recaudo total de $23.6 billones. De estos, $5.7 billones corresponden al impuesto a cargo tras la presentación de las declaraciones, mientras que $17.9 billones, a anticipos y retenciones practicadas a los contribuyentes con antelación", indicó Carlos Emilio Betancourt, director general (e) de la DIAN. </w:t>
      </w:r>
    </w:p>
    <w:p w14:paraId="05ABE9A8"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F2F8309"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El buen desempeño de la plataforma de la DIAN y el mejoramiento de los tiempos de respuesta son resultado del fortalecimiento de la infraestructura tecnológica y las pruebas de carga y estrés que aseguraron la estabilidad ante la alta demanda, además de la implementación de herramientas de monitoreo para anticipar cualquier eventualidad. Esto garantizó un servicio confiable y accesible a lo largo de todo el calendario de vencimientos, cumpliendo el compromiso que la entidad adquirió con el país. </w:t>
      </w:r>
    </w:p>
    <w:p w14:paraId="4CC2C22A"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669FB38D"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Como parte del trabajo preventivo y de preparación de la plataforma, la entidad también robusteció sus mecanismos de ciberseguridad. Gracias a ello detectó y bloqueó más de 4.178 eventos maliciosos, tales como intentos de acceso no autorizados o ataques automatizados, evitando así posibles afectaciones al sistema y protegiendo la información de los contribuyentes.</w:t>
      </w:r>
    </w:p>
    <w:p w14:paraId="17B81073"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0B5BD8A8"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b/>
          <w:bCs/>
          <w:color w:val="000000"/>
          <w:kern w:val="0"/>
          <w:lang w:val="es-CO" w:eastAsia="es-MX"/>
          <w14:ligatures w14:val="none"/>
        </w:rPr>
        <w:t>Desempeño de las herramientas digitales</w:t>
      </w:r>
      <w:r w:rsidRPr="004D5E62">
        <w:rPr>
          <w:rFonts w:ascii="Verdana" w:eastAsia="Times New Roman" w:hAnsi="Verdana" w:cs="Times New Roman"/>
          <w:color w:val="000000"/>
          <w:kern w:val="0"/>
          <w:lang w:val="es-CO" w:eastAsia="es-MX"/>
          <w14:ligatures w14:val="none"/>
        </w:rPr>
        <w:t> </w:t>
      </w:r>
    </w:p>
    <w:p w14:paraId="5D936671"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7ACDECD7"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Las herramientas digitales diseñadas para facilitar el cumplimiento tributario también mostraron excelentes resultados. Este año, las visitas al micrositio de renta aumentaron en un 18.5%, con respecto al año anterior, lo que refleja el creciente uso de los canales virtuales por parte de los contribuyentes. Además, durante el calendario de renta, el motor de búsqueda recibió 40 millones de consultas y el programa Ayuda Renta registró cerca de 500.000 descargas. </w:t>
      </w:r>
    </w:p>
    <w:p w14:paraId="4903F49B"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37CBCBEE"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 xml:space="preserve">Adicional a ello, la DIAN dispuso </w:t>
      </w:r>
      <w:r w:rsidRPr="004D5E62">
        <w:rPr>
          <w:rFonts w:ascii="Verdana" w:eastAsia="Times New Roman" w:hAnsi="Verdana" w:cs="Times New Roman"/>
          <w:b/>
          <w:bCs/>
          <w:color w:val="000000"/>
          <w:kern w:val="0"/>
          <w:lang w:val="es-CO" w:eastAsia="es-MX"/>
          <w14:ligatures w14:val="none"/>
        </w:rPr>
        <w:t>7.541.910 declaraciones sugeridas</w:t>
      </w:r>
      <w:r w:rsidRPr="004D5E62">
        <w:rPr>
          <w:rFonts w:ascii="Verdana" w:eastAsia="Times New Roman" w:hAnsi="Verdana" w:cs="Times New Roman"/>
          <w:color w:val="000000"/>
          <w:kern w:val="0"/>
          <w:lang w:val="es-CO" w:eastAsia="es-MX"/>
          <w14:ligatures w14:val="none"/>
        </w:rPr>
        <w:t>, simplificando el proceso de declaración y fortaleciendo la confianza de los contribuyentes en los servicios digitales de la entidad. </w:t>
      </w:r>
    </w:p>
    <w:p w14:paraId="205B3956"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66B363D8"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b/>
          <w:bCs/>
          <w:color w:val="000000"/>
          <w:kern w:val="0"/>
          <w:lang w:val="es-CO" w:eastAsia="es-MX"/>
          <w14:ligatures w14:val="none"/>
        </w:rPr>
        <w:t>Atención, facilitación y servicio al ciudadano</w:t>
      </w:r>
    </w:p>
    <w:p w14:paraId="0B0A39E0"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25B0923"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Además del fortalecimiento tecnológico, la DIAN desplegó una robusta estrategia de atención al ciudadano. </w:t>
      </w:r>
    </w:p>
    <w:p w14:paraId="197A577D"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057B0CBD"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b/>
          <w:bCs/>
          <w:color w:val="000000"/>
          <w:kern w:val="0"/>
          <w:lang w:val="es-CO" w:eastAsia="es-MX"/>
          <w14:ligatures w14:val="none"/>
        </w:rPr>
        <w:t xml:space="preserve">Más de 800 servidores públicos, entre ellos 540 en los puntos de atención y 348 en el </w:t>
      </w:r>
      <w:proofErr w:type="spellStart"/>
      <w:r w:rsidRPr="004D5E62">
        <w:rPr>
          <w:rFonts w:ascii="Verdana" w:eastAsia="Times New Roman" w:hAnsi="Verdana" w:cs="Times New Roman"/>
          <w:b/>
          <w:bCs/>
          <w:color w:val="000000"/>
          <w:kern w:val="0"/>
          <w:lang w:val="es-CO" w:eastAsia="es-MX"/>
          <w14:ligatures w14:val="none"/>
        </w:rPr>
        <w:t>Contact</w:t>
      </w:r>
      <w:proofErr w:type="spellEnd"/>
      <w:r w:rsidRPr="004D5E62">
        <w:rPr>
          <w:rFonts w:ascii="Verdana" w:eastAsia="Times New Roman" w:hAnsi="Verdana" w:cs="Times New Roman"/>
          <w:b/>
          <w:bCs/>
          <w:color w:val="000000"/>
          <w:kern w:val="0"/>
          <w:lang w:val="es-CO" w:eastAsia="es-MX"/>
          <w14:ligatures w14:val="none"/>
        </w:rPr>
        <w:t xml:space="preserve"> Cente</w:t>
      </w:r>
      <w:r w:rsidRPr="004D5E62">
        <w:rPr>
          <w:rFonts w:ascii="Verdana" w:eastAsia="Times New Roman" w:hAnsi="Verdana" w:cs="Times New Roman"/>
          <w:color w:val="000000"/>
          <w:kern w:val="0"/>
          <w:lang w:val="es-CO" w:eastAsia="es-MX"/>
          <w14:ligatures w14:val="none"/>
        </w:rPr>
        <w:t xml:space="preserve">r, acompañaron con compromiso y cercanía a los contribuyentes. Se ampliaron los horarios en </w:t>
      </w:r>
      <w:r w:rsidRPr="004D5E62">
        <w:rPr>
          <w:rFonts w:ascii="Verdana" w:eastAsia="Times New Roman" w:hAnsi="Verdana" w:cs="Times New Roman"/>
          <w:b/>
          <w:bCs/>
          <w:color w:val="000000"/>
          <w:kern w:val="0"/>
          <w:lang w:val="es-CO" w:eastAsia="es-MX"/>
          <w14:ligatures w14:val="none"/>
        </w:rPr>
        <w:t>54 puntos de atención en todo el país</w:t>
      </w:r>
      <w:r w:rsidRPr="004D5E62">
        <w:rPr>
          <w:rFonts w:ascii="Verdana" w:eastAsia="Times New Roman" w:hAnsi="Verdana" w:cs="Times New Roman"/>
          <w:color w:val="000000"/>
          <w:kern w:val="0"/>
          <w:lang w:val="es-CO" w:eastAsia="es-MX"/>
          <w14:ligatures w14:val="none"/>
        </w:rPr>
        <w:t xml:space="preserve"> y se consolidó una atención multicanal, que permitió </w:t>
      </w:r>
      <w:r w:rsidRPr="004D5E62">
        <w:rPr>
          <w:rFonts w:ascii="Verdana" w:eastAsia="Times New Roman" w:hAnsi="Verdana" w:cs="Times New Roman"/>
          <w:b/>
          <w:bCs/>
          <w:color w:val="000000"/>
          <w:kern w:val="0"/>
          <w:lang w:val="es-CO" w:eastAsia="es-MX"/>
          <w14:ligatures w14:val="none"/>
        </w:rPr>
        <w:t>orientar a más de 513 mil ciudadanos y gestionar más de 834 mil transacciones</w:t>
      </w:r>
      <w:r w:rsidRPr="004D5E62">
        <w:rPr>
          <w:rFonts w:ascii="Verdana" w:eastAsia="Times New Roman" w:hAnsi="Verdana" w:cs="Times New Roman"/>
          <w:color w:val="000000"/>
          <w:kern w:val="0"/>
          <w:lang w:val="es-CO" w:eastAsia="es-MX"/>
          <w14:ligatures w14:val="none"/>
        </w:rPr>
        <w:t>. </w:t>
      </w:r>
    </w:p>
    <w:p w14:paraId="5CA45639"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78C9EF4"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i/>
          <w:iCs/>
          <w:color w:val="000000"/>
          <w:kern w:val="0"/>
          <w:lang w:val="es-CO" w:eastAsia="es-MX"/>
          <w14:ligatures w14:val="none"/>
        </w:rPr>
        <w:t xml:space="preserve">“Agradecemos a todos los contribuyentes por el compromiso y cumplimiento de sus obligaciones. Nuestro objetivo es seguir mejorando </w:t>
      </w:r>
      <w:r w:rsidRPr="004D5E62">
        <w:rPr>
          <w:rFonts w:ascii="Verdana" w:eastAsia="Times New Roman" w:hAnsi="Verdana" w:cs="Times New Roman"/>
          <w:i/>
          <w:iCs/>
          <w:color w:val="000000"/>
          <w:kern w:val="0"/>
          <w:lang w:val="es-CO" w:eastAsia="es-MX"/>
          <w14:ligatures w14:val="none"/>
        </w:rPr>
        <w:lastRenderedPageBreak/>
        <w:t>la experiencia de nuestros usuarios y la calidad en la atención al ciudadano que hemos puesto en marcha, para ofrecer un servicio cada vez más eficiente y cercano",</w:t>
      </w:r>
      <w:r w:rsidRPr="004D5E62">
        <w:rPr>
          <w:rFonts w:ascii="Verdana" w:eastAsia="Times New Roman" w:hAnsi="Verdana" w:cs="Times New Roman"/>
          <w:color w:val="000000"/>
          <w:kern w:val="0"/>
          <w:lang w:val="es-CO" w:eastAsia="es-MX"/>
          <w14:ligatures w14:val="none"/>
        </w:rPr>
        <w:t xml:space="preserve"> señaló el director general (e) de la entidad.</w:t>
      </w:r>
    </w:p>
    <w:p w14:paraId="58BAACBD"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0C81AE0C" w14:textId="77777777" w:rsidR="004D5E62" w:rsidRPr="004D5E62" w:rsidRDefault="004D5E62" w:rsidP="004D5E62">
      <w:pPr>
        <w:jc w:val="both"/>
        <w:rPr>
          <w:rFonts w:ascii="Times New Roman" w:eastAsia="Times New Roman" w:hAnsi="Times New Roman" w:cs="Times New Roman"/>
          <w:kern w:val="0"/>
          <w:lang w:val="es-CO" w:eastAsia="es-MX"/>
          <w14:ligatures w14:val="none"/>
        </w:rPr>
      </w:pPr>
      <w:r w:rsidRPr="004D5E62">
        <w:rPr>
          <w:rFonts w:ascii="Verdana" w:eastAsia="Times New Roman" w:hAnsi="Verdana" w:cs="Times New Roman"/>
          <w:color w:val="000000"/>
          <w:kern w:val="0"/>
          <w:lang w:val="es-CO" w:eastAsia="es-MX"/>
          <w14:ligatures w14:val="none"/>
        </w:rPr>
        <w:t xml:space="preserve">Descargue </w:t>
      </w:r>
      <w:hyperlink r:id="rId6" w:history="1">
        <w:r w:rsidRPr="004D5E62">
          <w:rPr>
            <w:rFonts w:ascii="Verdana" w:eastAsia="Times New Roman" w:hAnsi="Verdana" w:cs="Times New Roman"/>
            <w:color w:val="000000"/>
            <w:kern w:val="0"/>
            <w:u w:val="single"/>
            <w:lang w:val="es-CO" w:eastAsia="es-MX"/>
            <w14:ligatures w14:val="none"/>
          </w:rPr>
          <w:t>aquí</w:t>
        </w:r>
      </w:hyperlink>
      <w:r w:rsidRPr="004D5E62">
        <w:rPr>
          <w:rFonts w:ascii="Verdana" w:eastAsia="Times New Roman" w:hAnsi="Verdana" w:cs="Times New Roman"/>
          <w:color w:val="000000"/>
          <w:kern w:val="0"/>
          <w:lang w:val="es-CO" w:eastAsia="es-MX"/>
          <w14:ligatures w14:val="none"/>
        </w:rPr>
        <w:t xml:space="preserve"> el Comunicado de Prensa.</w:t>
      </w:r>
    </w:p>
    <w:p w14:paraId="65FEBE9A" w14:textId="77777777" w:rsidR="004D5E62" w:rsidRPr="004D5E62" w:rsidRDefault="004D5E62" w:rsidP="004D5E62">
      <w:pPr>
        <w:rPr>
          <w:rFonts w:ascii="Times New Roman" w:eastAsia="Times New Roman" w:hAnsi="Times New Roman" w:cs="Times New Roman"/>
          <w:kern w:val="0"/>
          <w:lang w:val="es-CO" w:eastAsia="es-MX"/>
          <w14:ligatures w14:val="none"/>
        </w:rPr>
      </w:pPr>
    </w:p>
    <w:p w14:paraId="2F4755C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047F9"/>
    <w:multiLevelType w:val="multilevel"/>
    <w:tmpl w:val="D94A6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5A59A5"/>
    <w:multiLevelType w:val="multilevel"/>
    <w:tmpl w:val="9EEC5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C44D03"/>
    <w:multiLevelType w:val="multilevel"/>
    <w:tmpl w:val="3F5AF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7087846">
    <w:abstractNumId w:val="0"/>
  </w:num>
  <w:num w:numId="2" w16cid:durableId="1525362807">
    <w:abstractNumId w:val="1"/>
  </w:num>
  <w:num w:numId="3" w16cid:durableId="13602005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E62"/>
    <w:rsid w:val="000B2285"/>
    <w:rsid w:val="004D5E62"/>
    <w:rsid w:val="00537D8F"/>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B7CBE4D"/>
  <w14:defaultImageDpi w14:val="32767"/>
  <w15:chartTrackingRefBased/>
  <w15:docId w15:val="{DD7A762B-CAC8-2F44-9C8C-9E252839F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D5E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D5E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D5E6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D5E6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D5E6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D5E6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5E6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5E6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5E6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5E6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D5E6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D5E6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D5E6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D5E6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D5E6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5E6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5E6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5E62"/>
    <w:rPr>
      <w:rFonts w:eastAsiaTheme="majorEastAsia" w:cstheme="majorBidi"/>
      <w:color w:val="272727" w:themeColor="text1" w:themeTint="D8"/>
    </w:rPr>
  </w:style>
  <w:style w:type="paragraph" w:styleId="Ttulo">
    <w:name w:val="Title"/>
    <w:basedOn w:val="Normal"/>
    <w:next w:val="Normal"/>
    <w:link w:val="TtuloCar"/>
    <w:uiPriority w:val="10"/>
    <w:qFormat/>
    <w:rsid w:val="004D5E6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5E6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5E6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5E6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5E6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D5E62"/>
    <w:rPr>
      <w:i/>
      <w:iCs/>
      <w:color w:val="404040" w:themeColor="text1" w:themeTint="BF"/>
    </w:rPr>
  </w:style>
  <w:style w:type="paragraph" w:styleId="Prrafodelista">
    <w:name w:val="List Paragraph"/>
    <w:basedOn w:val="Normal"/>
    <w:uiPriority w:val="34"/>
    <w:qFormat/>
    <w:rsid w:val="004D5E62"/>
    <w:pPr>
      <w:ind w:left="720"/>
      <w:contextualSpacing/>
    </w:pPr>
  </w:style>
  <w:style w:type="character" w:styleId="nfasisintenso">
    <w:name w:val="Intense Emphasis"/>
    <w:basedOn w:val="Fuentedeprrafopredeter"/>
    <w:uiPriority w:val="21"/>
    <w:qFormat/>
    <w:rsid w:val="004D5E62"/>
    <w:rPr>
      <w:i/>
      <w:iCs/>
      <w:color w:val="2F5496" w:themeColor="accent1" w:themeShade="BF"/>
    </w:rPr>
  </w:style>
  <w:style w:type="paragraph" w:styleId="Citadestacada">
    <w:name w:val="Intense Quote"/>
    <w:basedOn w:val="Normal"/>
    <w:next w:val="Normal"/>
    <w:link w:val="CitadestacadaCar"/>
    <w:uiPriority w:val="30"/>
    <w:qFormat/>
    <w:rsid w:val="004D5E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D5E62"/>
    <w:rPr>
      <w:i/>
      <w:iCs/>
      <w:color w:val="2F5496" w:themeColor="accent1" w:themeShade="BF"/>
    </w:rPr>
  </w:style>
  <w:style w:type="character" w:styleId="Referenciaintensa">
    <w:name w:val="Intense Reference"/>
    <w:basedOn w:val="Fuentedeprrafopredeter"/>
    <w:uiPriority w:val="32"/>
    <w:qFormat/>
    <w:rsid w:val="004D5E62"/>
    <w:rPr>
      <w:b/>
      <w:bCs/>
      <w:smallCaps/>
      <w:color w:val="2F5496" w:themeColor="accent1" w:themeShade="BF"/>
      <w:spacing w:val="5"/>
    </w:rPr>
  </w:style>
  <w:style w:type="paragraph" w:styleId="NormalWeb">
    <w:name w:val="Normal (Web)"/>
    <w:basedOn w:val="Normal"/>
    <w:uiPriority w:val="99"/>
    <w:semiHidden/>
    <w:unhideWhenUsed/>
    <w:rsid w:val="004D5E6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4D5E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ian.gov.co/Prensa/ComunicadosPrensa/096-DIAN-le-cumplio-al-pais-renta-personas-naturales-AG-2024.zip"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675</Words>
  <Characters>3522</Characters>
  <Application>Microsoft Office Word</Application>
  <DocSecurity>0</DocSecurity>
  <Lines>81</Lines>
  <Paragraphs>20</Paragraphs>
  <ScaleCrop>false</ScaleCrop>
  <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2025-10-30T15:44:00Z</dcterms:created>
  <dcterms:modified xsi:type="dcterms:W3CDTF">2025-10-30T15:45:00Z</dcterms:modified>
</cp:coreProperties>
</file>