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7BC17"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b/>
          <w:bCs/>
          <w:color w:val="000000"/>
          <w:kern w:val="0"/>
          <w:lang w:val="es-CO" w:eastAsia="es-MX"/>
          <w14:ligatures w14:val="none"/>
        </w:rPr>
        <w:t>CONCEPTO 271 DEL 29 DE SEPTIEMBRE DE 2025</w:t>
      </w:r>
    </w:p>
    <w:p w14:paraId="61A7C347"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b/>
          <w:bCs/>
          <w:color w:val="000000"/>
          <w:kern w:val="0"/>
          <w:lang w:val="es-CO" w:eastAsia="es-MX"/>
          <w14:ligatures w14:val="none"/>
        </w:rPr>
        <w:t>CONSEJO TÉCNICO DE LA CONTADURÍA PÚBLICA</w:t>
      </w:r>
    </w:p>
    <w:p w14:paraId="7BFB5D78" w14:textId="77777777" w:rsidR="00703E72" w:rsidRPr="00703E72" w:rsidRDefault="00703E72" w:rsidP="00703E72">
      <w:pPr>
        <w:rPr>
          <w:rFonts w:ascii="Times New Roman" w:eastAsia="Times New Roman" w:hAnsi="Times New Roman" w:cs="Times New Roman"/>
          <w:kern w:val="0"/>
          <w:lang w:val="es-CO" w:eastAsia="es-MX"/>
          <w14:ligatures w14:val="none"/>
        </w:rPr>
      </w:pPr>
    </w:p>
    <w:p w14:paraId="753DCD43"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color w:val="000000"/>
          <w:kern w:val="0"/>
          <w:lang w:val="es-CO" w:eastAsia="es-MX"/>
          <w14:ligatures w14:val="none"/>
        </w:rPr>
        <w:t>Bogotá, D.C.,</w:t>
      </w:r>
    </w:p>
    <w:p w14:paraId="5EF8692A" w14:textId="77777777" w:rsidR="00703E72" w:rsidRPr="00703E72" w:rsidRDefault="00703E72" w:rsidP="00703E72">
      <w:pPr>
        <w:rPr>
          <w:rFonts w:ascii="Times New Roman" w:eastAsia="Times New Roman" w:hAnsi="Times New Roman" w:cs="Times New Roman"/>
          <w:kern w:val="0"/>
          <w:lang w:val="es-CO" w:eastAsia="es-MX"/>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2794"/>
        <w:gridCol w:w="4451"/>
      </w:tblGrid>
      <w:tr w:rsidR="00703E72" w:rsidRPr="00703E72" w14:paraId="1AF7BA5F" w14:textId="77777777">
        <w:trPr>
          <w:trHeight w:val="263"/>
        </w:trPr>
        <w:tc>
          <w:tcPr>
            <w:tcW w:w="0" w:type="auto"/>
            <w:gridSpan w:val="2"/>
            <w:tcBorders>
              <w:left w:val="single" w:sz="4" w:space="0" w:color="000000"/>
              <w:right w:val="single" w:sz="4" w:space="0" w:color="000000"/>
            </w:tcBorders>
            <w:shd w:val="clear" w:color="auto" w:fill="000000"/>
            <w:hideMark/>
          </w:tcPr>
          <w:p w14:paraId="7AE76AC3"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b/>
                <w:bCs/>
                <w:color w:val="FFFFFF"/>
                <w:kern w:val="0"/>
                <w:lang w:val="es-CO" w:eastAsia="es-MX"/>
                <w14:ligatures w14:val="none"/>
              </w:rPr>
              <w:t>REFERENCIA:</w:t>
            </w:r>
          </w:p>
        </w:tc>
      </w:tr>
      <w:tr w:rsidR="00703E72" w:rsidRPr="00703E72" w14:paraId="7786A8FD" w14:textId="77777777">
        <w:trPr>
          <w:trHeight w:val="243"/>
        </w:trPr>
        <w:tc>
          <w:tcPr>
            <w:tcW w:w="0" w:type="auto"/>
            <w:tcBorders>
              <w:left w:val="single" w:sz="4" w:space="0" w:color="000000"/>
            </w:tcBorders>
            <w:hideMark/>
          </w:tcPr>
          <w:p w14:paraId="2CB587D5"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b/>
                <w:bCs/>
                <w:color w:val="000000"/>
                <w:kern w:val="0"/>
                <w:lang w:val="es-CO" w:eastAsia="es-MX"/>
                <w14:ligatures w14:val="none"/>
              </w:rPr>
              <w:t>No. del Radicado</w:t>
            </w:r>
          </w:p>
        </w:tc>
        <w:tc>
          <w:tcPr>
            <w:tcW w:w="0" w:type="auto"/>
            <w:tcBorders>
              <w:right w:val="single" w:sz="4" w:space="0" w:color="000000"/>
            </w:tcBorders>
            <w:hideMark/>
          </w:tcPr>
          <w:p w14:paraId="4B28CE7F"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b/>
                <w:bCs/>
                <w:color w:val="000000"/>
                <w:kern w:val="0"/>
                <w:lang w:val="es-CO" w:eastAsia="es-MX"/>
                <w14:ligatures w14:val="none"/>
              </w:rPr>
              <w:t>1-2025-033152</w:t>
            </w:r>
          </w:p>
        </w:tc>
      </w:tr>
      <w:tr w:rsidR="00703E72" w:rsidRPr="00703E72" w14:paraId="32F97AEE" w14:textId="77777777">
        <w:trPr>
          <w:trHeight w:val="242"/>
        </w:trPr>
        <w:tc>
          <w:tcPr>
            <w:tcW w:w="0" w:type="auto"/>
            <w:tcBorders>
              <w:left w:val="single" w:sz="4" w:space="0" w:color="000000"/>
            </w:tcBorders>
            <w:hideMark/>
          </w:tcPr>
          <w:p w14:paraId="040DDD5C"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b/>
                <w:bCs/>
                <w:color w:val="000000"/>
                <w:kern w:val="0"/>
                <w:lang w:val="es-CO" w:eastAsia="es-MX"/>
                <w14:ligatures w14:val="none"/>
              </w:rPr>
              <w:t>Fecha de Radicado</w:t>
            </w:r>
          </w:p>
        </w:tc>
        <w:tc>
          <w:tcPr>
            <w:tcW w:w="0" w:type="auto"/>
            <w:tcBorders>
              <w:right w:val="single" w:sz="4" w:space="0" w:color="000000"/>
            </w:tcBorders>
            <w:hideMark/>
          </w:tcPr>
          <w:p w14:paraId="22F1D808"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b/>
                <w:bCs/>
                <w:color w:val="000000"/>
                <w:kern w:val="0"/>
                <w:lang w:val="es-CO" w:eastAsia="es-MX"/>
                <w14:ligatures w14:val="none"/>
              </w:rPr>
              <w:t>29 de septiembre de 2025</w:t>
            </w:r>
          </w:p>
        </w:tc>
      </w:tr>
      <w:tr w:rsidR="00703E72" w:rsidRPr="00703E72" w14:paraId="722200C4" w14:textId="77777777">
        <w:trPr>
          <w:trHeight w:val="243"/>
        </w:trPr>
        <w:tc>
          <w:tcPr>
            <w:tcW w:w="0" w:type="auto"/>
            <w:tcBorders>
              <w:left w:val="single" w:sz="4" w:space="0" w:color="000000"/>
            </w:tcBorders>
            <w:hideMark/>
          </w:tcPr>
          <w:p w14:paraId="27EDD601"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b/>
                <w:bCs/>
                <w:color w:val="000000"/>
                <w:kern w:val="0"/>
                <w:lang w:val="es-CO" w:eastAsia="es-MX"/>
                <w14:ligatures w14:val="none"/>
              </w:rPr>
              <w:t>No. Radicación CTCP</w:t>
            </w:r>
          </w:p>
        </w:tc>
        <w:tc>
          <w:tcPr>
            <w:tcW w:w="0" w:type="auto"/>
            <w:tcBorders>
              <w:right w:val="single" w:sz="4" w:space="0" w:color="000000"/>
            </w:tcBorders>
            <w:hideMark/>
          </w:tcPr>
          <w:p w14:paraId="6A379A29"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b/>
                <w:bCs/>
                <w:color w:val="000000"/>
                <w:kern w:val="0"/>
                <w:lang w:val="es-CO" w:eastAsia="es-MX"/>
                <w14:ligatures w14:val="none"/>
              </w:rPr>
              <w:t>2025-0271</w:t>
            </w:r>
          </w:p>
        </w:tc>
      </w:tr>
      <w:tr w:rsidR="00703E72" w:rsidRPr="00703E72" w14:paraId="11A8DAAB" w14:textId="77777777">
        <w:trPr>
          <w:trHeight w:val="242"/>
        </w:trPr>
        <w:tc>
          <w:tcPr>
            <w:tcW w:w="0" w:type="auto"/>
            <w:tcBorders>
              <w:left w:val="single" w:sz="4" w:space="0" w:color="000000"/>
              <w:bottom w:val="single" w:sz="4" w:space="0" w:color="000000"/>
            </w:tcBorders>
            <w:hideMark/>
          </w:tcPr>
          <w:p w14:paraId="1D84524C"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b/>
                <w:bCs/>
                <w:color w:val="000000"/>
                <w:kern w:val="0"/>
                <w:lang w:val="es-CO" w:eastAsia="es-MX"/>
                <w14:ligatures w14:val="none"/>
              </w:rPr>
              <w:t>Tema</w:t>
            </w:r>
          </w:p>
        </w:tc>
        <w:tc>
          <w:tcPr>
            <w:tcW w:w="0" w:type="auto"/>
            <w:tcBorders>
              <w:bottom w:val="single" w:sz="4" w:space="0" w:color="000000"/>
              <w:right w:val="single" w:sz="4" w:space="0" w:color="000000"/>
            </w:tcBorders>
            <w:hideMark/>
          </w:tcPr>
          <w:p w14:paraId="7855E115"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b/>
                <w:bCs/>
                <w:color w:val="000000"/>
                <w:kern w:val="0"/>
                <w:lang w:val="es-CO" w:eastAsia="es-MX"/>
                <w14:ligatures w14:val="none"/>
              </w:rPr>
              <w:t>Certificaciones del Revisor Fiscal</w:t>
            </w:r>
          </w:p>
        </w:tc>
      </w:tr>
    </w:tbl>
    <w:p w14:paraId="15D98526" w14:textId="77777777" w:rsidR="00703E72" w:rsidRPr="00703E72" w:rsidRDefault="00703E72" w:rsidP="00703E72">
      <w:pPr>
        <w:rPr>
          <w:rFonts w:ascii="Times New Roman" w:eastAsia="Times New Roman" w:hAnsi="Times New Roman" w:cs="Times New Roman"/>
          <w:kern w:val="0"/>
          <w:lang w:val="es-CO" w:eastAsia="es-MX"/>
          <w14:ligatures w14:val="none"/>
        </w:rPr>
      </w:pPr>
    </w:p>
    <w:p w14:paraId="54D5D107" w14:textId="77777777" w:rsidR="00703E72" w:rsidRPr="00703E72" w:rsidRDefault="00703E72" w:rsidP="00703E72">
      <w:pPr>
        <w:jc w:val="both"/>
        <w:outlineLvl w:val="0"/>
        <w:rPr>
          <w:rFonts w:ascii="Times New Roman" w:eastAsia="Times New Roman" w:hAnsi="Times New Roman" w:cs="Times New Roman"/>
          <w:b/>
          <w:bCs/>
          <w:kern w:val="36"/>
          <w:sz w:val="48"/>
          <w:szCs w:val="48"/>
          <w:lang w:val="es-CO" w:eastAsia="es-MX"/>
          <w14:ligatures w14:val="none"/>
        </w:rPr>
      </w:pPr>
      <w:r w:rsidRPr="00703E72">
        <w:rPr>
          <w:rFonts w:ascii="Verdana" w:eastAsia="Times New Roman" w:hAnsi="Verdana" w:cs="Times New Roman"/>
          <w:b/>
          <w:bCs/>
          <w:color w:val="000000"/>
          <w:kern w:val="36"/>
          <w:lang w:val="es-CO" w:eastAsia="es-MX"/>
          <w14:ligatures w14:val="none"/>
        </w:rPr>
        <w:t>CONSULTA (TEXTUAL)</w:t>
      </w:r>
    </w:p>
    <w:p w14:paraId="29C0EBA9" w14:textId="77777777" w:rsidR="00703E72" w:rsidRPr="00703E72" w:rsidRDefault="00703E72" w:rsidP="00703E72">
      <w:pPr>
        <w:rPr>
          <w:rFonts w:ascii="Times New Roman" w:eastAsia="Times New Roman" w:hAnsi="Times New Roman" w:cs="Times New Roman"/>
          <w:kern w:val="0"/>
          <w:lang w:val="es-CO" w:eastAsia="es-MX"/>
          <w14:ligatures w14:val="none"/>
        </w:rPr>
      </w:pPr>
    </w:p>
    <w:p w14:paraId="691D7E5F"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i/>
          <w:iCs/>
          <w:color w:val="000000"/>
          <w:kern w:val="0"/>
          <w:lang w:val="es-CO" w:eastAsia="es-MX"/>
          <w14:ligatures w14:val="none"/>
        </w:rPr>
        <w:t>“(…) cuáles son los requisitos formales y de fondo que debe cumplir una certificación emitida por un revisor fiscal, así como: Los hechos, temas o situaciones sobre los cuales puede pronunciarse o certificar. El alcance de dicha certificación en el ejercicio de la fe pública. Las condiciones bajo las cuales la certificación tiene plena validez y constituye prueba suficiente ante personas naturales, jurídicas o autoridades competentes. (…)”</w:t>
      </w:r>
    </w:p>
    <w:p w14:paraId="2B85E365" w14:textId="77777777" w:rsidR="00703E72" w:rsidRPr="00703E72" w:rsidRDefault="00703E72" w:rsidP="00703E72">
      <w:pPr>
        <w:rPr>
          <w:rFonts w:ascii="Times New Roman" w:eastAsia="Times New Roman" w:hAnsi="Times New Roman" w:cs="Times New Roman"/>
          <w:kern w:val="0"/>
          <w:lang w:val="es-CO" w:eastAsia="es-MX"/>
          <w14:ligatures w14:val="none"/>
        </w:rPr>
      </w:pPr>
    </w:p>
    <w:p w14:paraId="4A716E36" w14:textId="77777777" w:rsidR="00703E72" w:rsidRPr="00703E72" w:rsidRDefault="00703E72" w:rsidP="00703E72">
      <w:pPr>
        <w:jc w:val="both"/>
        <w:outlineLvl w:val="0"/>
        <w:rPr>
          <w:rFonts w:ascii="Times New Roman" w:eastAsia="Times New Roman" w:hAnsi="Times New Roman" w:cs="Times New Roman"/>
          <w:b/>
          <w:bCs/>
          <w:kern w:val="36"/>
          <w:sz w:val="48"/>
          <w:szCs w:val="48"/>
          <w:lang w:val="es-CO" w:eastAsia="es-MX"/>
          <w14:ligatures w14:val="none"/>
        </w:rPr>
      </w:pPr>
      <w:r w:rsidRPr="00703E72">
        <w:rPr>
          <w:rFonts w:ascii="Verdana" w:eastAsia="Times New Roman" w:hAnsi="Verdana" w:cs="Times New Roman"/>
          <w:b/>
          <w:bCs/>
          <w:color w:val="000000"/>
          <w:kern w:val="36"/>
          <w:lang w:val="es-CO" w:eastAsia="es-MX"/>
          <w14:ligatures w14:val="none"/>
        </w:rPr>
        <w:t>RESUMEN:</w:t>
      </w:r>
    </w:p>
    <w:p w14:paraId="7C9DE342" w14:textId="77777777" w:rsidR="00703E72" w:rsidRPr="00703E72" w:rsidRDefault="00703E72" w:rsidP="00703E72">
      <w:pPr>
        <w:rPr>
          <w:rFonts w:ascii="Times New Roman" w:eastAsia="Times New Roman" w:hAnsi="Times New Roman" w:cs="Times New Roman"/>
          <w:kern w:val="0"/>
          <w:lang w:val="es-CO" w:eastAsia="es-MX"/>
          <w14:ligatures w14:val="none"/>
        </w:rPr>
      </w:pPr>
    </w:p>
    <w:p w14:paraId="50244C6B"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color w:val="000000"/>
          <w:kern w:val="0"/>
          <w:lang w:val="es-CO" w:eastAsia="es-MX"/>
          <w14:ligatures w14:val="none"/>
        </w:rPr>
        <w:t>Las certificaciones emitidas por los contadores públicos o revisores fiscales, deben referirse únicamente a los hechos verificables y comprobables relacionados con la ciencia contable, respecto de los cuales el profesional haya obtenido evidencia suficiente.</w:t>
      </w:r>
    </w:p>
    <w:p w14:paraId="1B947EDD" w14:textId="77777777" w:rsidR="00703E72" w:rsidRPr="00703E72" w:rsidRDefault="00703E72" w:rsidP="00703E72">
      <w:pPr>
        <w:rPr>
          <w:rFonts w:ascii="Times New Roman" w:eastAsia="Times New Roman" w:hAnsi="Times New Roman" w:cs="Times New Roman"/>
          <w:kern w:val="0"/>
          <w:lang w:val="es-CO" w:eastAsia="es-MX"/>
          <w14:ligatures w14:val="none"/>
        </w:rPr>
      </w:pPr>
    </w:p>
    <w:p w14:paraId="2AD39D88" w14:textId="77777777" w:rsidR="00703E72" w:rsidRPr="00703E72" w:rsidRDefault="00703E72" w:rsidP="00703E72">
      <w:pPr>
        <w:jc w:val="both"/>
        <w:outlineLvl w:val="0"/>
        <w:rPr>
          <w:rFonts w:ascii="Times New Roman" w:eastAsia="Times New Roman" w:hAnsi="Times New Roman" w:cs="Times New Roman"/>
          <w:b/>
          <w:bCs/>
          <w:kern w:val="36"/>
          <w:sz w:val="48"/>
          <w:szCs w:val="48"/>
          <w:lang w:val="es-CO" w:eastAsia="es-MX"/>
          <w14:ligatures w14:val="none"/>
        </w:rPr>
      </w:pPr>
      <w:r w:rsidRPr="00703E72">
        <w:rPr>
          <w:rFonts w:ascii="Verdana" w:eastAsia="Times New Roman" w:hAnsi="Verdana" w:cs="Times New Roman"/>
          <w:b/>
          <w:bCs/>
          <w:color w:val="000000"/>
          <w:kern w:val="36"/>
          <w:lang w:val="es-CO" w:eastAsia="es-MX"/>
          <w14:ligatures w14:val="none"/>
        </w:rPr>
        <w:t>CONSIDERACIONES Y CONCEPTO</w:t>
      </w:r>
    </w:p>
    <w:p w14:paraId="134F3B8F" w14:textId="77777777" w:rsidR="00703E72" w:rsidRPr="00703E72" w:rsidRDefault="00703E72" w:rsidP="00703E72">
      <w:pPr>
        <w:rPr>
          <w:rFonts w:ascii="Times New Roman" w:eastAsia="Times New Roman" w:hAnsi="Times New Roman" w:cs="Times New Roman"/>
          <w:kern w:val="0"/>
          <w:lang w:val="es-CO" w:eastAsia="es-MX"/>
          <w14:ligatures w14:val="none"/>
        </w:rPr>
      </w:pPr>
    </w:p>
    <w:p w14:paraId="61AC858F"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328CAA06" w14:textId="77777777" w:rsidR="00703E72" w:rsidRPr="00703E72" w:rsidRDefault="00703E72" w:rsidP="00703E72">
      <w:pPr>
        <w:rPr>
          <w:rFonts w:ascii="Times New Roman" w:eastAsia="Times New Roman" w:hAnsi="Times New Roman" w:cs="Times New Roman"/>
          <w:kern w:val="0"/>
          <w:lang w:val="es-CO" w:eastAsia="es-MX"/>
          <w14:ligatures w14:val="none"/>
        </w:rPr>
      </w:pPr>
    </w:p>
    <w:p w14:paraId="5963714F"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color w:val="000000"/>
          <w:kern w:val="0"/>
          <w:lang w:val="es-CO" w:eastAsia="es-MX"/>
          <w14:ligatures w14:val="none"/>
        </w:rPr>
        <w:t xml:space="preserve">El CTCP se pronunció sobre una situación similar en el concepto </w:t>
      </w:r>
      <w:hyperlink r:id="rId5" w:history="1">
        <w:r w:rsidRPr="00703E72">
          <w:rPr>
            <w:rFonts w:ascii="Verdana" w:eastAsia="Times New Roman" w:hAnsi="Verdana" w:cs="Times New Roman"/>
            <w:color w:val="0000FF"/>
            <w:kern w:val="0"/>
            <w:u w:val="single"/>
            <w:lang w:val="es-CO" w:eastAsia="es-MX"/>
            <w14:ligatures w14:val="none"/>
          </w:rPr>
          <w:t>2023-0392</w:t>
        </w:r>
      </w:hyperlink>
      <w:r w:rsidRPr="00703E72">
        <w:rPr>
          <w:rFonts w:ascii="Verdana" w:eastAsia="Times New Roman" w:hAnsi="Verdana" w:cs="Times New Roman"/>
          <w:color w:val="000000"/>
          <w:kern w:val="0"/>
          <w:lang w:val="es-CO" w:eastAsia="es-MX"/>
          <w14:ligatures w14:val="none"/>
        </w:rPr>
        <w:t>.</w:t>
      </w:r>
    </w:p>
    <w:p w14:paraId="56FEC854" w14:textId="77777777" w:rsidR="00703E72" w:rsidRPr="00703E72" w:rsidRDefault="00703E72" w:rsidP="00703E72">
      <w:pPr>
        <w:rPr>
          <w:rFonts w:ascii="Times New Roman" w:eastAsia="Times New Roman" w:hAnsi="Times New Roman" w:cs="Times New Roman"/>
          <w:kern w:val="0"/>
          <w:lang w:val="es-CO" w:eastAsia="es-MX"/>
          <w14:ligatures w14:val="none"/>
        </w:rPr>
      </w:pPr>
    </w:p>
    <w:p w14:paraId="0758162F"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color w:val="000000"/>
          <w:kern w:val="0"/>
          <w:lang w:val="es-CO" w:eastAsia="es-MX"/>
          <w14:ligatures w14:val="none"/>
        </w:rPr>
        <w:t xml:space="preserve">Es importante mencionar que el CTCP emite orientaciones dentro del ámbito de las normas de contabilidad, información financiera, </w:t>
      </w:r>
      <w:r w:rsidRPr="00703E72">
        <w:rPr>
          <w:rFonts w:ascii="Verdana" w:eastAsia="Times New Roman" w:hAnsi="Verdana" w:cs="Times New Roman"/>
          <w:color w:val="000000"/>
          <w:kern w:val="0"/>
          <w:lang w:val="es-CO" w:eastAsia="es-MX"/>
          <w14:ligatures w14:val="none"/>
        </w:rPr>
        <w:lastRenderedPageBreak/>
        <w:t>aseguramiento de la información y revisoría fiscal, conforme a lo dispuesto en el artículo 33 de la Ley 43 de 1990 y en la Ley 1314 de 2009.</w:t>
      </w:r>
    </w:p>
    <w:p w14:paraId="5957D07B" w14:textId="77777777" w:rsidR="00703E72" w:rsidRPr="00703E72" w:rsidRDefault="00703E72" w:rsidP="00703E72">
      <w:pPr>
        <w:rPr>
          <w:rFonts w:ascii="Times New Roman" w:eastAsia="Times New Roman" w:hAnsi="Times New Roman" w:cs="Times New Roman"/>
          <w:kern w:val="0"/>
          <w:lang w:val="es-CO" w:eastAsia="es-MX"/>
          <w14:ligatures w14:val="none"/>
        </w:rPr>
      </w:pPr>
    </w:p>
    <w:p w14:paraId="18E5DC7F"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color w:val="000000"/>
          <w:kern w:val="0"/>
          <w:lang w:val="es-CO" w:eastAsia="es-MX"/>
          <w14:ligatures w14:val="none"/>
        </w:rPr>
        <w:t>De acuerdo con la Ley 43 de 1990 y la práctica profesional, toda certificación emitida por un revisor fiscal debe estar soportada en información verificable por un tercero. Dicha evidencia puede provenir de los libros de contabilidad del comerciante, de soportes externos de transacciones, de contratos, extractos bancarios, entre otros documentos idóneos.</w:t>
      </w:r>
    </w:p>
    <w:p w14:paraId="4548B77F" w14:textId="77777777" w:rsidR="00703E72" w:rsidRPr="00703E72" w:rsidRDefault="00703E72" w:rsidP="00703E72">
      <w:pPr>
        <w:rPr>
          <w:rFonts w:ascii="Times New Roman" w:eastAsia="Times New Roman" w:hAnsi="Times New Roman" w:cs="Times New Roman"/>
          <w:kern w:val="0"/>
          <w:lang w:val="es-CO" w:eastAsia="es-MX"/>
          <w14:ligatures w14:val="none"/>
        </w:rPr>
      </w:pPr>
    </w:p>
    <w:p w14:paraId="11B4684B"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color w:val="000000"/>
          <w:kern w:val="0"/>
          <w:lang w:val="es-CO" w:eastAsia="es-MX"/>
          <w14:ligatures w14:val="none"/>
        </w:rPr>
        <w:t>El artículo 69 de la misma ley establece que el certificado, opinión o dictamen expedido por un contador público, en su calidad de revisor fiscal, debe ser claro, preciso y ceñido estrictamente a la verdad. En este sentido, la delegación que el Estado ha otorgado a los contadores públicos para conferir presunción de legalidad y autenticidad a ciertos actos, hechos o documentos que suscriben (fe pública, artículo 10 de la Ley 43 de 1990), solo aplica respecto de aquellos actos o documentos expresamente previstos en la ley. Por consiguiente, ni los contadores públicos ni autoridades distintas al legislador pueden, por iniciativa propia, adicionar o limitar el alcance de los actos certificables.</w:t>
      </w:r>
    </w:p>
    <w:p w14:paraId="5111C0F7" w14:textId="77777777" w:rsidR="00703E72" w:rsidRPr="00703E72" w:rsidRDefault="00703E72" w:rsidP="00703E72">
      <w:pPr>
        <w:rPr>
          <w:rFonts w:ascii="Times New Roman" w:eastAsia="Times New Roman" w:hAnsi="Times New Roman" w:cs="Times New Roman"/>
          <w:kern w:val="0"/>
          <w:lang w:val="es-CO" w:eastAsia="es-MX"/>
          <w14:ligatures w14:val="none"/>
        </w:rPr>
      </w:pPr>
    </w:p>
    <w:p w14:paraId="312494A7"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color w:val="000000"/>
          <w:kern w:val="0"/>
          <w:lang w:val="es-CO" w:eastAsia="es-MX"/>
          <w14:ligatures w14:val="none"/>
        </w:rPr>
        <w:t>Además de los requerimientos legales y de la información contenida en los libros de contabilidad, el contador público, al expedir una certificación, debe observar las normas técnicas que resulten aplicables.</w:t>
      </w:r>
    </w:p>
    <w:p w14:paraId="6367AB19" w14:textId="77777777" w:rsidR="00703E72" w:rsidRPr="00703E72" w:rsidRDefault="00703E72" w:rsidP="00703E72">
      <w:pPr>
        <w:rPr>
          <w:rFonts w:ascii="Times New Roman" w:eastAsia="Times New Roman" w:hAnsi="Times New Roman" w:cs="Times New Roman"/>
          <w:kern w:val="0"/>
          <w:lang w:val="es-CO" w:eastAsia="es-MX"/>
          <w14:ligatures w14:val="none"/>
        </w:rPr>
      </w:pPr>
    </w:p>
    <w:p w14:paraId="1B1BD585"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color w:val="000000"/>
          <w:kern w:val="0"/>
          <w:lang w:val="es-CO" w:eastAsia="es-MX"/>
          <w14:ligatures w14:val="none"/>
        </w:rPr>
        <w:t>En este marco, las certificaciones emitidas por un contador público deben circunscribirse a actividades relacionadas con la ciencia contable, entendida como las funciones propias de la profesión, definidas en el artículo 2° de la Ley 43 de 1990, entre las cuales se destacan:</w:t>
      </w:r>
    </w:p>
    <w:p w14:paraId="15DB1753" w14:textId="77777777" w:rsidR="00703E72" w:rsidRPr="00703E72" w:rsidRDefault="00703E72" w:rsidP="00703E72">
      <w:pPr>
        <w:rPr>
          <w:rFonts w:ascii="Times New Roman" w:eastAsia="Times New Roman" w:hAnsi="Times New Roman" w:cs="Times New Roman"/>
          <w:kern w:val="0"/>
          <w:lang w:val="es-CO" w:eastAsia="es-MX"/>
          <w14:ligatures w14:val="none"/>
        </w:rPr>
      </w:pPr>
      <w:r w:rsidRPr="00703E72">
        <w:rPr>
          <w:rFonts w:ascii="Times New Roman" w:eastAsia="Times New Roman" w:hAnsi="Times New Roman" w:cs="Times New Roman"/>
          <w:kern w:val="0"/>
          <w:lang w:val="es-CO" w:eastAsia="es-MX"/>
          <w14:ligatures w14:val="none"/>
        </w:rPr>
        <w:br/>
      </w:r>
    </w:p>
    <w:p w14:paraId="111A93FC" w14:textId="77777777" w:rsidR="00703E72" w:rsidRPr="00703E72" w:rsidRDefault="00703E72" w:rsidP="00703E72">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703E72">
        <w:rPr>
          <w:rFonts w:ascii="Verdana" w:eastAsia="Times New Roman" w:hAnsi="Verdana" w:cs="Times New Roman"/>
          <w:color w:val="000000"/>
          <w:kern w:val="0"/>
          <w:lang w:val="es-CO" w:eastAsia="es-MX"/>
          <w14:ligatures w14:val="none"/>
        </w:rPr>
        <w:t>Las que implican organización, revisión y control de contabilidades.</w:t>
      </w:r>
    </w:p>
    <w:p w14:paraId="43ABF34D" w14:textId="77777777" w:rsidR="00703E72" w:rsidRPr="00703E72" w:rsidRDefault="00703E72" w:rsidP="00703E72">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703E72">
        <w:rPr>
          <w:rFonts w:ascii="Verdana" w:eastAsia="Times New Roman" w:hAnsi="Verdana" w:cs="Times New Roman"/>
          <w:color w:val="000000"/>
          <w:kern w:val="0"/>
          <w:lang w:val="es-CO" w:eastAsia="es-MX"/>
          <w14:ligatures w14:val="none"/>
        </w:rPr>
        <w:t>Certificaciones y dictámenes sobre estados financieros.</w:t>
      </w:r>
    </w:p>
    <w:p w14:paraId="36A1B920" w14:textId="77777777" w:rsidR="00703E72" w:rsidRPr="00703E72" w:rsidRDefault="00703E72" w:rsidP="00703E72">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703E72">
        <w:rPr>
          <w:rFonts w:ascii="Verdana" w:eastAsia="Times New Roman" w:hAnsi="Verdana" w:cs="Times New Roman"/>
          <w:color w:val="000000"/>
          <w:kern w:val="0"/>
          <w:lang w:val="es-CO" w:eastAsia="es-MX"/>
          <w14:ligatures w14:val="none"/>
        </w:rPr>
        <w:t>Certificaciones que se expidan con fundamento en libros de contabilidad.</w:t>
      </w:r>
    </w:p>
    <w:p w14:paraId="7547C688" w14:textId="77777777" w:rsidR="00703E72" w:rsidRPr="00703E72" w:rsidRDefault="00703E72" w:rsidP="00703E72">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703E72">
        <w:rPr>
          <w:rFonts w:ascii="Verdana" w:eastAsia="Times New Roman" w:hAnsi="Verdana" w:cs="Times New Roman"/>
          <w:color w:val="000000"/>
          <w:kern w:val="0"/>
          <w:lang w:val="es-CO" w:eastAsia="es-MX"/>
          <w14:ligatures w14:val="none"/>
        </w:rPr>
        <w:t>Ejercicio de la revisoría fiscal.</w:t>
      </w:r>
    </w:p>
    <w:p w14:paraId="5D983B4D" w14:textId="77777777" w:rsidR="00703E72" w:rsidRPr="00703E72" w:rsidRDefault="00703E72" w:rsidP="00703E72">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703E72">
        <w:rPr>
          <w:rFonts w:ascii="Verdana" w:eastAsia="Times New Roman" w:hAnsi="Verdana" w:cs="Times New Roman"/>
          <w:color w:val="000000"/>
          <w:kern w:val="0"/>
          <w:lang w:val="es-CO" w:eastAsia="es-MX"/>
          <w14:ligatures w14:val="none"/>
        </w:rPr>
        <w:t>Prestación de servicios de auditoría.</w:t>
      </w:r>
    </w:p>
    <w:p w14:paraId="3427E864" w14:textId="77777777" w:rsidR="00703E72" w:rsidRPr="00703E72" w:rsidRDefault="00703E72" w:rsidP="00703E72">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703E72">
        <w:rPr>
          <w:rFonts w:ascii="Verdana" w:eastAsia="Times New Roman" w:hAnsi="Verdana" w:cs="Times New Roman"/>
          <w:color w:val="000000"/>
          <w:kern w:val="0"/>
          <w:lang w:val="es-CO" w:eastAsia="es-MX"/>
          <w14:ligatures w14:val="none"/>
        </w:rPr>
        <w:t>Actividades conexas, tales como asesoría tributaria y asesoría gerencial en aspectos financieros.</w:t>
      </w:r>
    </w:p>
    <w:p w14:paraId="7A0B21FC" w14:textId="77777777" w:rsidR="00703E72" w:rsidRPr="00703E72" w:rsidRDefault="00703E72" w:rsidP="00703E72">
      <w:pPr>
        <w:rPr>
          <w:rFonts w:ascii="Times New Roman" w:eastAsia="Times New Roman" w:hAnsi="Times New Roman" w:cs="Times New Roman"/>
          <w:kern w:val="0"/>
          <w:lang w:val="es-CO" w:eastAsia="es-MX"/>
          <w14:ligatures w14:val="none"/>
        </w:rPr>
      </w:pPr>
    </w:p>
    <w:p w14:paraId="1823C2B3"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color w:val="000000"/>
          <w:kern w:val="0"/>
          <w:lang w:val="es-CO" w:eastAsia="es-MX"/>
          <w14:ligatures w14:val="none"/>
        </w:rPr>
        <w:t xml:space="preserve">De igual forma, el artículo 207 del Código de Comercio, especialmente sus numerales 3 y 9, establece funciones relacionadas con certificaciones que deben rendir los revisores fiscales. Otras normas que contemplan obligaciones de certificación del revisor fiscal son: el artículo 11 del </w:t>
      </w:r>
      <w:r w:rsidRPr="00703E72">
        <w:rPr>
          <w:rFonts w:ascii="Verdana" w:eastAsia="Times New Roman" w:hAnsi="Verdana" w:cs="Times New Roman"/>
          <w:color w:val="000000"/>
          <w:kern w:val="0"/>
          <w:lang w:val="es-CO" w:eastAsia="es-MX"/>
          <w14:ligatures w14:val="none"/>
        </w:rPr>
        <w:lastRenderedPageBreak/>
        <w:t>Decreto 1406 de 1999, el artículo 57 de la Ley 2195 de 2022, el artículo 50 de la Ley 789 de 2002 y diversas disposiciones del Estatuto Tributario.</w:t>
      </w:r>
    </w:p>
    <w:p w14:paraId="2EF11423" w14:textId="77777777" w:rsidR="00703E72" w:rsidRPr="00703E72" w:rsidRDefault="00703E72" w:rsidP="00703E72">
      <w:pPr>
        <w:rPr>
          <w:rFonts w:ascii="Times New Roman" w:eastAsia="Times New Roman" w:hAnsi="Times New Roman" w:cs="Times New Roman"/>
          <w:kern w:val="0"/>
          <w:lang w:val="es-CO" w:eastAsia="es-MX"/>
          <w14:ligatures w14:val="none"/>
        </w:rPr>
      </w:pPr>
    </w:p>
    <w:p w14:paraId="719E44A6"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color w:val="000000"/>
          <w:kern w:val="0"/>
          <w:lang w:val="es-CO" w:eastAsia="es-MX"/>
          <w14:ligatures w14:val="none"/>
        </w:rPr>
        <w:t>En síntesis, las certificaciones del revisor fiscal constituyen instrumentos de fe pública con presunción de veracidad, siempre que se refieran a hechos contables, estén soportadas en evidencia verificable y se expidan en cumplimiento estricto de las normas legales y técnicas que regulan la profesión.</w:t>
      </w:r>
    </w:p>
    <w:p w14:paraId="5FBC8E83" w14:textId="77777777" w:rsidR="00703E72" w:rsidRPr="00703E72" w:rsidRDefault="00703E72" w:rsidP="00703E72">
      <w:pPr>
        <w:rPr>
          <w:rFonts w:ascii="Times New Roman" w:eastAsia="Times New Roman" w:hAnsi="Times New Roman" w:cs="Times New Roman"/>
          <w:kern w:val="0"/>
          <w:lang w:val="es-CO" w:eastAsia="es-MX"/>
          <w14:ligatures w14:val="none"/>
        </w:rPr>
      </w:pPr>
    </w:p>
    <w:p w14:paraId="5FB41B51"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1B88E990" w14:textId="77777777" w:rsidR="00703E72" w:rsidRPr="00703E72" w:rsidRDefault="00703E72" w:rsidP="00703E72">
      <w:pPr>
        <w:rPr>
          <w:rFonts w:ascii="Times New Roman" w:eastAsia="Times New Roman" w:hAnsi="Times New Roman" w:cs="Times New Roman"/>
          <w:kern w:val="0"/>
          <w:lang w:val="es-CO" w:eastAsia="es-MX"/>
          <w14:ligatures w14:val="none"/>
        </w:rPr>
      </w:pPr>
    </w:p>
    <w:p w14:paraId="6E750BCE"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color w:val="000000"/>
          <w:kern w:val="0"/>
          <w:lang w:val="es-CO" w:eastAsia="es-MX"/>
          <w14:ligatures w14:val="none"/>
        </w:rPr>
        <w:t>Cordialmente,</w:t>
      </w:r>
    </w:p>
    <w:p w14:paraId="1B52DD84" w14:textId="77777777" w:rsidR="00703E72" w:rsidRPr="00703E72" w:rsidRDefault="00703E72" w:rsidP="00703E72">
      <w:pPr>
        <w:rPr>
          <w:rFonts w:ascii="Times New Roman" w:eastAsia="Times New Roman" w:hAnsi="Times New Roman" w:cs="Times New Roman"/>
          <w:kern w:val="0"/>
          <w:lang w:val="es-CO" w:eastAsia="es-MX"/>
          <w14:ligatures w14:val="none"/>
        </w:rPr>
      </w:pPr>
    </w:p>
    <w:p w14:paraId="5508D835"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color w:val="000000"/>
          <w:kern w:val="0"/>
          <w:lang w:val="es-CO" w:eastAsia="es-MX"/>
          <w14:ligatures w14:val="none"/>
        </w:rPr>
        <w:t>(Fdo.) JIMMY JAY BOLAÑO TARRÁ,</w:t>
      </w:r>
    </w:p>
    <w:p w14:paraId="4F5B5F7D" w14:textId="77777777" w:rsidR="00703E72" w:rsidRPr="00703E72" w:rsidRDefault="00703E72" w:rsidP="00703E72">
      <w:pPr>
        <w:jc w:val="both"/>
        <w:rPr>
          <w:rFonts w:ascii="Times New Roman" w:eastAsia="Times New Roman" w:hAnsi="Times New Roman" w:cs="Times New Roman"/>
          <w:kern w:val="0"/>
          <w:lang w:val="es-CO" w:eastAsia="es-MX"/>
          <w14:ligatures w14:val="none"/>
        </w:rPr>
      </w:pPr>
      <w:r w:rsidRPr="00703E72">
        <w:rPr>
          <w:rFonts w:ascii="Verdana" w:eastAsia="Times New Roman" w:hAnsi="Verdana" w:cs="Times New Roman"/>
          <w:color w:val="000000"/>
          <w:kern w:val="0"/>
          <w:lang w:val="es-CO" w:eastAsia="es-MX"/>
          <w14:ligatures w14:val="none"/>
        </w:rPr>
        <w:t>Presidente CTCP</w:t>
      </w:r>
    </w:p>
    <w:p w14:paraId="7F6B305F" w14:textId="77777777" w:rsidR="00703E72" w:rsidRPr="00703E72" w:rsidRDefault="00703E72" w:rsidP="00703E72">
      <w:pPr>
        <w:rPr>
          <w:rFonts w:ascii="Times New Roman" w:eastAsia="Times New Roman" w:hAnsi="Times New Roman" w:cs="Times New Roman"/>
          <w:kern w:val="0"/>
          <w:lang w:val="es-CO" w:eastAsia="es-MX"/>
          <w14:ligatures w14:val="none"/>
        </w:rPr>
      </w:pPr>
    </w:p>
    <w:p w14:paraId="582A7C57"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4E679E"/>
    <w:multiLevelType w:val="multilevel"/>
    <w:tmpl w:val="EA3CB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67734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E72"/>
    <w:rsid w:val="000B2285"/>
    <w:rsid w:val="00537D8F"/>
    <w:rsid w:val="00703E72"/>
    <w:rsid w:val="00956539"/>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2AFBB56"/>
  <w14:defaultImageDpi w14:val="32767"/>
  <w15:chartTrackingRefBased/>
  <w15:docId w15:val="{146F0A58-0723-9744-9DA9-E1B3532DA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03E7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03E7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03E7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03E7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03E7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03E72"/>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03E72"/>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03E72"/>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03E72"/>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03E72"/>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703E72"/>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703E72"/>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703E72"/>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703E72"/>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703E7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03E7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03E7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03E72"/>
    <w:rPr>
      <w:rFonts w:eastAsiaTheme="majorEastAsia" w:cstheme="majorBidi"/>
      <w:color w:val="272727" w:themeColor="text1" w:themeTint="D8"/>
    </w:rPr>
  </w:style>
  <w:style w:type="paragraph" w:styleId="Ttulo">
    <w:name w:val="Title"/>
    <w:basedOn w:val="Normal"/>
    <w:next w:val="Normal"/>
    <w:link w:val="TtuloCar"/>
    <w:uiPriority w:val="10"/>
    <w:qFormat/>
    <w:rsid w:val="00703E72"/>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03E7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03E72"/>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03E7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03E72"/>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703E72"/>
    <w:rPr>
      <w:i/>
      <w:iCs/>
      <w:color w:val="404040" w:themeColor="text1" w:themeTint="BF"/>
    </w:rPr>
  </w:style>
  <w:style w:type="paragraph" w:styleId="Prrafodelista">
    <w:name w:val="List Paragraph"/>
    <w:basedOn w:val="Normal"/>
    <w:uiPriority w:val="34"/>
    <w:qFormat/>
    <w:rsid w:val="00703E72"/>
    <w:pPr>
      <w:ind w:left="720"/>
      <w:contextualSpacing/>
    </w:pPr>
  </w:style>
  <w:style w:type="character" w:styleId="nfasisintenso">
    <w:name w:val="Intense Emphasis"/>
    <w:basedOn w:val="Fuentedeprrafopredeter"/>
    <w:uiPriority w:val="21"/>
    <w:qFormat/>
    <w:rsid w:val="00703E72"/>
    <w:rPr>
      <w:i/>
      <w:iCs/>
      <w:color w:val="2F5496" w:themeColor="accent1" w:themeShade="BF"/>
    </w:rPr>
  </w:style>
  <w:style w:type="paragraph" w:styleId="Citadestacada">
    <w:name w:val="Intense Quote"/>
    <w:basedOn w:val="Normal"/>
    <w:next w:val="Normal"/>
    <w:link w:val="CitadestacadaCar"/>
    <w:uiPriority w:val="30"/>
    <w:qFormat/>
    <w:rsid w:val="00703E7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03E72"/>
    <w:rPr>
      <w:i/>
      <w:iCs/>
      <w:color w:val="2F5496" w:themeColor="accent1" w:themeShade="BF"/>
    </w:rPr>
  </w:style>
  <w:style w:type="character" w:styleId="Referenciaintensa">
    <w:name w:val="Intense Reference"/>
    <w:basedOn w:val="Fuentedeprrafopredeter"/>
    <w:uiPriority w:val="32"/>
    <w:qFormat/>
    <w:rsid w:val="00703E72"/>
    <w:rPr>
      <w:b/>
      <w:bCs/>
      <w:smallCaps/>
      <w:color w:val="2F5496" w:themeColor="accent1" w:themeShade="BF"/>
      <w:spacing w:val="5"/>
    </w:rPr>
  </w:style>
  <w:style w:type="paragraph" w:styleId="NormalWeb">
    <w:name w:val="Normal (Web)"/>
    <w:basedOn w:val="Normal"/>
    <w:uiPriority w:val="99"/>
    <w:semiHidden/>
    <w:unhideWhenUsed/>
    <w:rsid w:val="00703E72"/>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styleId="Hipervnculo">
    <w:name w:val="Hyperlink"/>
    <w:basedOn w:val="Fuentedeprrafopredeter"/>
    <w:uiPriority w:val="99"/>
    <w:semiHidden/>
    <w:unhideWhenUsed/>
    <w:rsid w:val="00703E7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ctcp.gov.co/CMSPages/GetFile.aspx?guid=b80e1838-90f4-4f9b-93d6-2b2a1e2c71c2"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768</Words>
  <Characters>4230</Characters>
  <Application>Microsoft Office Word</Application>
  <DocSecurity>0</DocSecurity>
  <Lines>35</Lines>
  <Paragraphs>9</Paragraphs>
  <ScaleCrop>false</ScaleCrop>
  <Company/>
  <LinksUpToDate>false</LinksUpToDate>
  <CharactersWithSpaces>4989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2025-10-23T16:02:00Z</dcterms:created>
  <dcterms:modified xsi:type="dcterms:W3CDTF">2025-10-23T16:03:00Z</dcterms:modified>
</cp:coreProperties>
</file>