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AA86E"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color w:val="000000"/>
          <w:kern w:val="0"/>
          <w:lang w:val="es-CO" w:eastAsia="es-MX"/>
          <w14:ligatures w14:val="none"/>
        </w:rPr>
        <w:t>CONCEPTO 23870 DEL 16 DE ABRIL DE 2025</w:t>
      </w:r>
    </w:p>
    <w:p w14:paraId="6DDC47E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color w:val="000000"/>
          <w:kern w:val="0"/>
          <w:lang w:val="es-CO" w:eastAsia="es-MX"/>
          <w14:ligatures w14:val="none"/>
        </w:rPr>
        <w:t>DIRECCIÓN DE APOYO FISCAL</w:t>
      </w:r>
    </w:p>
    <w:p w14:paraId="36BFF8E9"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7DBCC3C1"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Tema</w:t>
      </w:r>
      <w:r w:rsidRPr="00F96D28">
        <w:rPr>
          <w:rFonts w:ascii="Verdana" w:eastAsia="Times New Roman" w:hAnsi="Verdana" w:cs="Times New Roman"/>
          <w:color w:val="000000"/>
          <w:kern w:val="0"/>
          <w:lang w:val="es-CO" w:eastAsia="es-MX"/>
          <w14:ligatures w14:val="none"/>
        </w:rPr>
        <w:tab/>
        <w:t>: Procedimiento tributario</w:t>
      </w:r>
    </w:p>
    <w:p w14:paraId="4DAEBD65"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Subtema</w:t>
      </w:r>
      <w:r w:rsidRPr="00F96D28">
        <w:rPr>
          <w:rFonts w:ascii="Verdana" w:eastAsia="Times New Roman" w:hAnsi="Verdana" w:cs="Times New Roman"/>
          <w:color w:val="000000"/>
          <w:kern w:val="0"/>
          <w:lang w:val="es-CO" w:eastAsia="es-MX"/>
          <w14:ligatures w14:val="none"/>
        </w:rPr>
        <w:tab/>
        <w:t>: Devolución de saldos a favor</w:t>
      </w:r>
    </w:p>
    <w:p w14:paraId="43A4B651"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20F3071C"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 xml:space="preserve">Cordial saludo doctora </w:t>
      </w:r>
      <w:proofErr w:type="spellStart"/>
      <w:r w:rsidRPr="00F96D28">
        <w:rPr>
          <w:rFonts w:ascii="Verdana" w:eastAsia="Times New Roman" w:hAnsi="Verdana" w:cs="Times New Roman"/>
          <w:color w:val="000000"/>
          <w:kern w:val="0"/>
          <w:lang w:val="es-CO" w:eastAsia="es-MX"/>
          <w14:ligatures w14:val="none"/>
        </w:rPr>
        <w:t>Zuñiga</w:t>
      </w:r>
      <w:proofErr w:type="spellEnd"/>
      <w:r w:rsidRPr="00F96D28">
        <w:rPr>
          <w:rFonts w:ascii="Verdana" w:eastAsia="Times New Roman" w:hAnsi="Verdana" w:cs="Times New Roman"/>
          <w:color w:val="000000"/>
          <w:kern w:val="0"/>
          <w:lang w:val="es-CO" w:eastAsia="es-MX"/>
          <w14:ligatures w14:val="none"/>
        </w:rPr>
        <w:t>:</w:t>
      </w:r>
    </w:p>
    <w:p w14:paraId="2664942A"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7B94E4AC"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Mediante oficio dirigido a este Despacho remite usted una serie de preguntas en relación con la devolución de los saldos a favor generados por el pago de las tasas retributivas, que de acuerdo con los términos de su consulta han sido definidas jurisprudencialmente como ingresos tributarios, las cuales señala que habían sido enviadas inicialmente a este Despacho en el mes de noviembre del año 2024.</w:t>
      </w:r>
    </w:p>
    <w:p w14:paraId="1A159D63"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A439F07"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primer lugar nos permitimos informarle que una vez revisado nuestro aplicativo de manejo de información no hemos encontrado una consulta igual a la radicada con Oficio 1-2025-026203 que hubiera sido recibida por este Ministerio anteriormente.</w:t>
      </w:r>
    </w:p>
    <w:p w14:paraId="1F38B500"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5D84723A"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relación con sus consultas sea lo primero anotar que si bien dentro de las funciones asignadas a esta Dirección por el Decreto 4712 de 2008, se encuentra la de prestar asesoría a las entidades territoriales, en temas de naturaleza tributaria y financiera, excede nuestras competencias asesorar entidades del orden nacional en relación con sus ingresos. En virtud de lo anterior, procederemos a remitir su consulta al Ministerio de Ambiente y Desarrollo Sostenible por ser la entidad competente para pronunciarse en relación con ingresos de naturaleza ambiental.</w:t>
      </w:r>
    </w:p>
    <w:p w14:paraId="3D1F01DF"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997A9F1"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No obstante lo anterior, y con el único ánimo de orientar su gestión a continuación responderemos sus consultas desde una perspectiva eminentemente tributaria, y sin perjuicio de lo que la autoridad ambiental pueda conceptuar.</w:t>
      </w:r>
    </w:p>
    <w:p w14:paraId="7A5F6BE6"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39BB3F3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Consulta usted:</w:t>
      </w:r>
    </w:p>
    <w:p w14:paraId="5F758AD4"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3B5BE366" w14:textId="77777777" w:rsidR="00F96D28" w:rsidRPr="00F96D28" w:rsidRDefault="00F96D28" w:rsidP="00F96D28">
      <w:pPr>
        <w:numPr>
          <w:ilvl w:val="0"/>
          <w:numId w:val="1"/>
        </w:numPr>
        <w:ind w:left="360"/>
        <w:jc w:val="both"/>
        <w:textAlignment w:val="baseline"/>
        <w:rPr>
          <w:rFonts w:ascii="Verdana" w:eastAsia="Times New Roman" w:hAnsi="Verdana" w:cs="Times New Roman"/>
          <w:b/>
          <w:bCs/>
          <w:i/>
          <w:iCs/>
          <w:color w:val="000000"/>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¿Qué reglamento debe observar la CAR, a efectos de poder llevar a cabo la devolución y/o compensación abreviada o automática de saldos a favor a los contribuyentes?</w:t>
      </w:r>
    </w:p>
    <w:p w14:paraId="4F2F879C"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D72576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Entendemos que su consulta se refiere al mecanismo de devolución automática establecido en el parágrafo 5 del artículo 855 del Estatuto Tributario Nacional, incorporado por el artículo 115 de la Ley 2010 de 2019.</w:t>
      </w:r>
    </w:p>
    <w:p w14:paraId="5690855A"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0158B3AD"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relación con éste, es menester señalar que tanto el artículo 855 ETN como el Decreto Reglamentario 963 de 2020, que regulan esta figura son aplicables únicamente a los impuestos de renta e IVA, siempre que los contribuyentes cumplan las siguientes condiciones:</w:t>
      </w:r>
    </w:p>
    <w:p w14:paraId="42F1AF7E"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CE63EBA"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No representen un riesgo alto de conformidad con el sistema de análisis de riesgo de la Dirección de Impuestos y Aduanas Nacionales -DIAN;</w:t>
      </w:r>
    </w:p>
    <w:p w14:paraId="38015597"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263D4A8A"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Más del ochenta y cinco por ciento (85%) de los costos o gastos y/o impuestos sobre las ventas descontables provengan de proveedores que emitan sus facturas mediante el mecanismo de factura electrónica.</w:t>
      </w:r>
    </w:p>
    <w:p w14:paraId="18614AF4"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7853CA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Teniendo en cuenta que la normatividad ha restringido la aplicación de esta figura a los impuestos de renta e IVA, y ha exigido el cumplimiento de una serie de requisitos asociados a la posibilidad de realizar un control previo a la procedencia de la devolución, en criterio de esta Dirección dicho procedimiento no sería aplicable a otro tipo de tributos como las tasas retributivas a las que se refiere su consulta.</w:t>
      </w:r>
    </w:p>
    <w:p w14:paraId="7D7557A4"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19B02185"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Así las cosas, en criterio de esta Dirección la devolución de los saldos a favor de tributos distintos al impuesto sobre la renta y sobre las ventas debe realizarse siguiendo el procedimiento establecido en los artículos 850 y siguientes del Estatuto Tributario Nacional, que regula de manera general el proceso de devolución de saldos a favor y que resulta aplicable a las entidades públicas que recaudan ingresos tributarios conforme a la remisión establecida en artículo 100 del Código de Procedimiento administrativo y de lo contencioso administrativo.</w:t>
      </w:r>
    </w:p>
    <w:p w14:paraId="1502B739"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243BB942" w14:textId="77777777" w:rsidR="00F96D28" w:rsidRPr="00F96D28" w:rsidRDefault="00F96D28" w:rsidP="00F96D28">
      <w:pPr>
        <w:numPr>
          <w:ilvl w:val="0"/>
          <w:numId w:val="2"/>
        </w:numPr>
        <w:ind w:left="360"/>
        <w:jc w:val="both"/>
        <w:textAlignment w:val="baseline"/>
        <w:rPr>
          <w:rFonts w:ascii="Verdana" w:eastAsia="Times New Roman" w:hAnsi="Verdana" w:cs="Times New Roman"/>
          <w:b/>
          <w:bCs/>
          <w:i/>
          <w:iCs/>
          <w:color w:val="000000"/>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¿La CAR puede de oficio realizar la compensación con otras obligaciones a cargo del sujeto pasivo, sin que medie su autorización expresa y escrita? ¿Qué norma faculta tal actuación?</w:t>
      </w:r>
    </w:p>
    <w:p w14:paraId="223EF19E"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3C80FAA"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relación con la figura de la compensación este Despacho se ha pronunciado en los siguientes términos:</w:t>
      </w:r>
    </w:p>
    <w:p w14:paraId="0D0DE1B9"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8993E70" w14:textId="77777777" w:rsidR="00F96D28" w:rsidRPr="00F96D28" w:rsidRDefault="00F96D28" w:rsidP="00F96D28">
      <w:pPr>
        <w:ind w:left="567"/>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t>[…] La figura de la compensación como modo de extinguir una obligación, supone la existencia de obligaciones recíprocas y exigibles a la fecha en la cual haya de hacerse efectiva dicha obligación, es así como en materia sustantiva el Código Civil en sus artículos 1714 a 1723 regula esta figura, así:</w:t>
      </w:r>
    </w:p>
    <w:p w14:paraId="59FD2C6C"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09E0DFD" w14:textId="77777777" w:rsidR="00F96D28" w:rsidRPr="00F96D28" w:rsidRDefault="00F96D28" w:rsidP="00F96D28">
      <w:pPr>
        <w:ind w:left="567"/>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lastRenderedPageBreak/>
        <w:t>“ARTICULO 1714. &lt;COMPENSACIÓN&gt;. Cuando dos personas son deudoras una de otra, se opera entre ellas una compensación que extingue ambas deudas, del modo y en los casos que van a explicarse. “</w:t>
      </w:r>
    </w:p>
    <w:p w14:paraId="2A8B8C30"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68DC8C8" w14:textId="77777777" w:rsidR="00F96D28" w:rsidRPr="00F96D28" w:rsidRDefault="00F96D28" w:rsidP="00F96D28">
      <w:pPr>
        <w:ind w:left="567"/>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t>“ARTICULO 1715. &lt;OPERANCIA DE LA COMPENSACIÓN&gt;. La compensación se opera por el solo ministerio de la ley y aún sin conocimiento de los deudores; y ambas deudas se extinguen recíprocamente hasta la concurrencia de sus valores, desde el momento que una y otra reúnen las calidades siguientes:</w:t>
      </w:r>
    </w:p>
    <w:p w14:paraId="485C751A"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1E05351F" w14:textId="77777777" w:rsidR="00F96D28" w:rsidRPr="00F96D28" w:rsidRDefault="00F96D28" w:rsidP="00F96D28">
      <w:pPr>
        <w:numPr>
          <w:ilvl w:val="0"/>
          <w:numId w:val="3"/>
        </w:numPr>
        <w:ind w:left="927"/>
        <w:jc w:val="both"/>
        <w:textAlignment w:val="baseline"/>
        <w:rPr>
          <w:rFonts w:ascii="Verdana" w:eastAsia="Times New Roman" w:hAnsi="Verdana" w:cs="Times New Roman"/>
          <w:i/>
          <w:iCs/>
          <w:color w:val="000000"/>
          <w:kern w:val="0"/>
          <w:lang w:val="es-CO" w:eastAsia="es-MX"/>
          <w14:ligatures w14:val="none"/>
        </w:rPr>
      </w:pPr>
      <w:r w:rsidRPr="00F96D28">
        <w:rPr>
          <w:rFonts w:ascii="Verdana" w:eastAsia="Times New Roman" w:hAnsi="Verdana" w:cs="Times New Roman"/>
          <w:i/>
          <w:iCs/>
          <w:color w:val="000000"/>
          <w:kern w:val="0"/>
          <w:lang w:val="es-CO" w:eastAsia="es-MX"/>
          <w14:ligatures w14:val="none"/>
        </w:rPr>
        <w:t>Que sean ambas de dinero o de cosas fungibles o indeterminadas de igual género y calidad.</w:t>
      </w:r>
    </w:p>
    <w:p w14:paraId="48D3B576" w14:textId="77777777" w:rsidR="00F96D28" w:rsidRPr="00F96D28" w:rsidRDefault="00F96D28" w:rsidP="00F96D28">
      <w:pPr>
        <w:numPr>
          <w:ilvl w:val="0"/>
          <w:numId w:val="3"/>
        </w:numPr>
        <w:ind w:left="927"/>
        <w:jc w:val="both"/>
        <w:textAlignment w:val="baseline"/>
        <w:rPr>
          <w:rFonts w:ascii="Verdana" w:eastAsia="Times New Roman" w:hAnsi="Verdana" w:cs="Times New Roman"/>
          <w:i/>
          <w:iCs/>
          <w:color w:val="000000"/>
          <w:kern w:val="0"/>
          <w:lang w:val="es-CO" w:eastAsia="es-MX"/>
          <w14:ligatures w14:val="none"/>
        </w:rPr>
      </w:pPr>
      <w:r w:rsidRPr="00F96D28">
        <w:rPr>
          <w:rFonts w:ascii="Verdana" w:eastAsia="Times New Roman" w:hAnsi="Verdana" w:cs="Times New Roman"/>
          <w:i/>
          <w:iCs/>
          <w:color w:val="000000"/>
          <w:kern w:val="0"/>
          <w:lang w:val="es-CO" w:eastAsia="es-MX"/>
          <w14:ligatures w14:val="none"/>
        </w:rPr>
        <w:t>Que ambas deudas sean líquidas; y</w:t>
      </w:r>
    </w:p>
    <w:p w14:paraId="7CE5497A" w14:textId="77777777" w:rsidR="00F96D28" w:rsidRPr="00F96D28" w:rsidRDefault="00F96D28" w:rsidP="00F96D28">
      <w:pPr>
        <w:numPr>
          <w:ilvl w:val="0"/>
          <w:numId w:val="3"/>
        </w:numPr>
        <w:ind w:left="927"/>
        <w:jc w:val="both"/>
        <w:textAlignment w:val="baseline"/>
        <w:rPr>
          <w:rFonts w:ascii="Verdana" w:eastAsia="Times New Roman" w:hAnsi="Verdana" w:cs="Times New Roman"/>
          <w:i/>
          <w:iCs/>
          <w:color w:val="000000"/>
          <w:kern w:val="0"/>
          <w:lang w:val="es-CO" w:eastAsia="es-MX"/>
          <w14:ligatures w14:val="none"/>
        </w:rPr>
      </w:pPr>
      <w:r w:rsidRPr="00F96D28">
        <w:rPr>
          <w:rFonts w:ascii="Verdana" w:eastAsia="Times New Roman" w:hAnsi="Verdana" w:cs="Times New Roman"/>
          <w:i/>
          <w:iCs/>
          <w:color w:val="000000"/>
          <w:kern w:val="0"/>
          <w:lang w:val="es-CO" w:eastAsia="es-MX"/>
          <w14:ligatures w14:val="none"/>
        </w:rPr>
        <w:t>Que ambas sean actualmente exigibles.</w:t>
      </w:r>
    </w:p>
    <w:p w14:paraId="0340D6D1" w14:textId="77777777" w:rsidR="00F96D28" w:rsidRPr="00F96D28" w:rsidRDefault="00F96D28" w:rsidP="00F96D28">
      <w:pPr>
        <w:ind w:left="1134"/>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t>Las esperas concedidas al deudor impiden la compensación; pero esta disposición no se aplica al plazo de gracia concedido por un acreedor a su deudor. “</w:t>
      </w:r>
    </w:p>
    <w:p w14:paraId="697DCF63"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1A8A0367" w14:textId="77777777" w:rsidR="00F96D28" w:rsidRPr="00F96D28" w:rsidRDefault="00F96D28" w:rsidP="00F96D28">
      <w:pPr>
        <w:ind w:left="567"/>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t>“ARTICULO 1716. &lt;REQUISITO DE LA COMPENSACIÓN&gt;. Para que haya lugar a la compensación es preciso que las dos partes sean recíprocamente deudoras.“ ...”</w:t>
      </w:r>
    </w:p>
    <w:p w14:paraId="3BB14941"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1B541D5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De acuerdo con lo anterior, consideramos que para que opere la figura de la compensación es requisito sine qua non la reciprocidad de las dos partes como deudoras, lo que implica que se debe estar frente a dos obligaciones expresas, claras y exigibles.</w:t>
      </w:r>
    </w:p>
    <w:p w14:paraId="04F6DE44"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0DB97EA5"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materia tributaria la calidad de expresa, clara y exigible de una obligación deriva del hecho de estar contenida en una liquidación privada o en un acto de determinación oficial.</w:t>
      </w:r>
    </w:p>
    <w:p w14:paraId="203C2C4D"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3F7C4DD4" w14:textId="77777777" w:rsidR="00F96D28" w:rsidRPr="00F96D28" w:rsidRDefault="00F96D28" w:rsidP="00F96D28">
      <w:pPr>
        <w:numPr>
          <w:ilvl w:val="0"/>
          <w:numId w:val="4"/>
        </w:numPr>
        <w:ind w:left="360"/>
        <w:jc w:val="both"/>
        <w:textAlignment w:val="baseline"/>
        <w:rPr>
          <w:rFonts w:ascii="Verdana" w:eastAsia="Times New Roman" w:hAnsi="Verdana" w:cs="Times New Roman"/>
          <w:b/>
          <w:bCs/>
          <w:i/>
          <w:iCs/>
          <w:color w:val="000000"/>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La entidad debe enviar comunicación (incurriendo en gastos), solicitándole al sujeto pasivo que autorice la compensación y/o establece que dicho sujeto, además de dicha autorización, deba remitir documentación idónea que permita cumplir con dicho cometido, tales como, certificación bancaria para poder efectuar la transferencia, RUT, copia de la cédula para la devolución, entre otros?</w:t>
      </w:r>
    </w:p>
    <w:p w14:paraId="1EC29F46"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2B65116E"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 xml:space="preserve">En caso de que la entidad opte por realizar la compensación con base en las normas del código civil referidas en la respuesta anterior no habrá necesidad de solicitar el consentimiento del deudor, como ya se </w:t>
      </w:r>
      <w:r w:rsidRPr="00F96D28">
        <w:rPr>
          <w:rFonts w:ascii="Verdana" w:eastAsia="Times New Roman" w:hAnsi="Verdana" w:cs="Times New Roman"/>
          <w:color w:val="000000"/>
          <w:kern w:val="0"/>
          <w:lang w:val="es-CO" w:eastAsia="es-MX"/>
          <w14:ligatures w14:val="none"/>
        </w:rPr>
        <w:lastRenderedPageBreak/>
        <w:t>mencionó, y en ese caso tampoco habría lugar a la realización de transferencias o devoluciones que requieran de documentación idónea, como sugiere en su consulta.</w:t>
      </w:r>
    </w:p>
    <w:p w14:paraId="5F5A69FF"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2AA14EF4"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caso de que la compensación sea parcial y queden saldos a favor susceptibles de devolución consideramos que deberán seguirse las reglas señaladas en los artículos 850 y siguientes del Estatuto Tributario Nacional, como se mencionó anteriormente.</w:t>
      </w:r>
    </w:p>
    <w:p w14:paraId="095EAF06"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106D3E7E" w14:textId="77777777" w:rsidR="00F96D28" w:rsidRPr="00F96D28" w:rsidRDefault="00F96D28" w:rsidP="00F96D28">
      <w:pPr>
        <w:numPr>
          <w:ilvl w:val="0"/>
          <w:numId w:val="5"/>
        </w:numPr>
        <w:jc w:val="both"/>
        <w:textAlignment w:val="baseline"/>
        <w:rPr>
          <w:rFonts w:ascii="Verdana" w:eastAsia="Times New Roman" w:hAnsi="Verdana" w:cs="Times New Roman"/>
          <w:b/>
          <w:bCs/>
          <w:i/>
          <w:iCs/>
          <w:color w:val="000000"/>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A los sujetos pasivos ¿se les ha definido un término de legal para hacer efectiva las saldos a su favor? ¿qué requisitos deben observar los sujetos pasivos para hacer efectivos los saldos a su favor?</w:t>
      </w:r>
    </w:p>
    <w:p w14:paraId="4A031BEC"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745316C1"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En relación con este tena el artículo 854 del Estatuto Tributario Nacional señala:</w:t>
      </w:r>
    </w:p>
    <w:p w14:paraId="329CEB24"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8F595AD"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i/>
          <w:iCs/>
          <w:color w:val="000000"/>
          <w:kern w:val="0"/>
          <w:lang w:val="es-CO" w:eastAsia="es-MX"/>
          <w14:ligatures w14:val="none"/>
        </w:rPr>
        <w:t>Artículo 854. Termino para solicitar la devolución de saldos a favor. La solicitud de devolución de impuestos deberá presentarse a más tardar dos años después de la fecha de vencimiento del término para declarar.</w:t>
      </w:r>
    </w:p>
    <w:p w14:paraId="107BE046"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7B578969"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De acuerdo con esta norma el contribuyente deberá cumplir, al menos, dos requisitos a saber:</w:t>
      </w:r>
    </w:p>
    <w:p w14:paraId="683F72E2"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65273DF6" w14:textId="77777777" w:rsidR="00F96D28" w:rsidRPr="00F96D28" w:rsidRDefault="00F96D28" w:rsidP="00F96D28">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F96D28">
        <w:rPr>
          <w:rFonts w:ascii="Verdana" w:eastAsia="Times New Roman" w:hAnsi="Verdana" w:cs="Times New Roman"/>
          <w:color w:val="000000"/>
          <w:kern w:val="0"/>
          <w:lang w:val="es-CO" w:eastAsia="es-MX"/>
          <w14:ligatures w14:val="none"/>
        </w:rPr>
        <w:t>Solicitar la devolución.</w:t>
      </w:r>
    </w:p>
    <w:p w14:paraId="2D80FBDB" w14:textId="77777777" w:rsidR="00F96D28" w:rsidRPr="00F96D28" w:rsidRDefault="00F96D28" w:rsidP="00F96D28">
      <w:pPr>
        <w:numPr>
          <w:ilvl w:val="0"/>
          <w:numId w:val="6"/>
        </w:numPr>
        <w:ind w:left="360"/>
        <w:jc w:val="both"/>
        <w:textAlignment w:val="baseline"/>
        <w:rPr>
          <w:rFonts w:ascii="Verdana" w:eastAsia="Times New Roman" w:hAnsi="Verdana" w:cs="Times New Roman"/>
          <w:color w:val="000000"/>
          <w:kern w:val="0"/>
          <w:lang w:val="es-CO" w:eastAsia="es-MX"/>
          <w14:ligatures w14:val="none"/>
        </w:rPr>
      </w:pPr>
      <w:r w:rsidRPr="00F96D28">
        <w:rPr>
          <w:rFonts w:ascii="Verdana" w:eastAsia="Times New Roman" w:hAnsi="Verdana" w:cs="Times New Roman"/>
          <w:color w:val="000000"/>
          <w:kern w:val="0"/>
          <w:lang w:val="es-CO" w:eastAsia="es-MX"/>
          <w14:ligatures w14:val="none"/>
        </w:rPr>
        <w:t>Hacerlo dentro de los dos años siguientes a la fecha del vencimiento del plazo para declarar el tributo que generó el saldo a favor.</w:t>
      </w:r>
    </w:p>
    <w:p w14:paraId="484AD334" w14:textId="77777777" w:rsidR="00F96D28" w:rsidRPr="00F96D28" w:rsidRDefault="00F96D28" w:rsidP="00F96D28">
      <w:pPr>
        <w:rPr>
          <w:rFonts w:ascii="Times New Roman" w:eastAsia="Times New Roman" w:hAnsi="Times New Roman" w:cs="Times New Roman"/>
          <w:kern w:val="0"/>
          <w:lang w:val="es-CO" w:eastAsia="es-MX"/>
          <w14:ligatures w14:val="none"/>
        </w:rPr>
      </w:pPr>
      <w:r w:rsidRPr="00F96D28">
        <w:rPr>
          <w:rFonts w:ascii="Times New Roman" w:eastAsia="Times New Roman" w:hAnsi="Times New Roman" w:cs="Times New Roman"/>
          <w:kern w:val="0"/>
          <w:lang w:val="es-CO" w:eastAsia="es-MX"/>
          <w14:ligatures w14:val="none"/>
        </w:rPr>
        <w:br/>
      </w:r>
    </w:p>
    <w:p w14:paraId="79955923" w14:textId="77777777" w:rsidR="00F96D28" w:rsidRPr="00F96D28" w:rsidRDefault="00F96D28" w:rsidP="00F96D28">
      <w:pPr>
        <w:numPr>
          <w:ilvl w:val="0"/>
          <w:numId w:val="7"/>
        </w:numPr>
        <w:jc w:val="both"/>
        <w:textAlignment w:val="baseline"/>
        <w:rPr>
          <w:rFonts w:ascii="Verdana" w:eastAsia="Times New Roman" w:hAnsi="Verdana" w:cs="Times New Roman"/>
          <w:b/>
          <w:bCs/>
          <w:i/>
          <w:iCs/>
          <w:color w:val="000000"/>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La CAR puede registrar como “aprovechamiento” aquellos valores que superan los términos de prescripción, sin que el usuario haya solicitado devolución y validado el aplicativo de cartera no tenga otras obligaciones’</w:t>
      </w:r>
    </w:p>
    <w:p w14:paraId="71899F74"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¿Qué norma faculta dicha actuación?</w:t>
      </w:r>
    </w:p>
    <w:p w14:paraId="47B71C34"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56C1C27E"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7. En caso de que el valor de la cuenta por pagar se registre como un aprovechamiento y tiempo después, el sujeto pasivo solicite la devolución,</w:t>
      </w:r>
    </w:p>
    <w:p w14:paraId="624F402D"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¿qué procedimiento debe seguir la CAR si ha operado la prescripción?</w:t>
      </w:r>
    </w:p>
    <w:p w14:paraId="155DE77A"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E85E0BA"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 xml:space="preserve">En relación con estas consultas nos permitimos señalar que en el ámbito de funciones de esta entidad no conocemos un rubro contable o </w:t>
      </w:r>
      <w:r w:rsidRPr="00F96D28">
        <w:rPr>
          <w:rFonts w:ascii="Verdana" w:eastAsia="Times New Roman" w:hAnsi="Verdana" w:cs="Times New Roman"/>
          <w:color w:val="000000"/>
          <w:kern w:val="0"/>
          <w:lang w:val="es-CO" w:eastAsia="es-MX"/>
          <w14:ligatures w14:val="none"/>
        </w:rPr>
        <w:lastRenderedPageBreak/>
        <w:t>presupuestal denominado “aprovechamiento”, por lo que nos abstendremos de pronunciarnos en relación con estas consultas.</w:t>
      </w:r>
    </w:p>
    <w:p w14:paraId="010B1C43"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2247DDE7"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b/>
          <w:bCs/>
          <w:i/>
          <w:iCs/>
          <w:color w:val="000000"/>
          <w:kern w:val="0"/>
          <w:lang w:val="es-CO" w:eastAsia="es-MX"/>
          <w14:ligatures w14:val="none"/>
        </w:rPr>
        <w:t>6. ¿La CAR podría constituir títulos de depósito judicial con estos valores?</w:t>
      </w:r>
    </w:p>
    <w:p w14:paraId="3A18BD2A"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21DB5DB"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A la luz del artículo 1° de la Ley 66 de 1993 un depósito judicial se entiende como la cantidad de dinero que de conformidad con las disposiciones legales y vigentes deben consignarse a órdenes de los despachos de la Rama Judicial, las cuales se deben consignar en los bancos legalmente autorizados para tal efecto.</w:t>
      </w:r>
    </w:p>
    <w:p w14:paraId="28D680A1"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81173CF"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Este Despacho no conoce una disposición legal que ordene consignar los saldos a favor no reclamados por los contribuyentes a ordenes de los despachos de la rama judicial, por lo que en nuestro criterio no resultaría procedente la constitución de títulos de depósito judicial en el evento por usted consultado.</w:t>
      </w:r>
    </w:p>
    <w:p w14:paraId="6094A570"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419BA057"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 xml:space="preserve">Finalmente le recordamos que las respuestas ofrecidas por esta Dirección se dan en los términos y con los alcances de los artículos 14-2 y 28 del Código de Procedimiento Administrativo y de lo Contencioso Administrativo, de manera que no son obligatorias ni vinculantes, no comprometen la responsabilidad de este Ministerio y son de público conocimiento, por lo que pueden ser consultadas en </w:t>
      </w:r>
      <w:hyperlink r:id="rId5" w:history="1">
        <w:r w:rsidRPr="00F96D28">
          <w:rPr>
            <w:rFonts w:ascii="Verdana" w:eastAsia="Times New Roman" w:hAnsi="Verdana" w:cs="Times New Roman"/>
            <w:color w:val="0000FF"/>
            <w:kern w:val="0"/>
            <w:u w:val="single"/>
            <w:lang w:val="es-CO" w:eastAsia="es-MX"/>
            <w14:ligatures w14:val="none"/>
          </w:rPr>
          <w:t>www.minhacienda.gov.co</w:t>
        </w:r>
      </w:hyperlink>
      <w:r w:rsidRPr="00F96D28">
        <w:rPr>
          <w:rFonts w:ascii="Verdana" w:eastAsia="Times New Roman" w:hAnsi="Verdana" w:cs="Times New Roman"/>
          <w:color w:val="000000"/>
          <w:kern w:val="0"/>
          <w:lang w:val="es-CO" w:eastAsia="es-MX"/>
          <w14:ligatures w14:val="none"/>
        </w:rPr>
        <w:t xml:space="preserve">, en la sección Entidades de Orden Territorial, en </w:t>
      </w:r>
      <w:hyperlink r:id="rId6" w:history="1">
        <w:r w:rsidRPr="00F96D28">
          <w:rPr>
            <w:rFonts w:ascii="Verdana" w:eastAsia="Times New Roman" w:hAnsi="Verdana" w:cs="Times New Roman"/>
            <w:color w:val="0000FF"/>
            <w:kern w:val="0"/>
            <w:u w:val="single"/>
            <w:lang w:val="es-CO" w:eastAsia="es-MX"/>
            <w14:ligatures w14:val="none"/>
          </w:rPr>
          <w:t>Asesorías y Conceptos en materia tributaria</w:t>
        </w:r>
      </w:hyperlink>
      <w:r w:rsidRPr="00F96D28">
        <w:rPr>
          <w:rFonts w:ascii="Verdana" w:eastAsia="Times New Roman" w:hAnsi="Verdana" w:cs="Times New Roman"/>
          <w:color w:val="0000FF"/>
          <w:kern w:val="0"/>
          <w:lang w:val="es-CO" w:eastAsia="es-MX"/>
          <w14:ligatures w14:val="none"/>
        </w:rPr>
        <w:t xml:space="preserve"> </w:t>
      </w:r>
      <w:r w:rsidRPr="00F96D28">
        <w:rPr>
          <w:rFonts w:ascii="Verdana" w:eastAsia="Times New Roman" w:hAnsi="Verdana" w:cs="Times New Roman"/>
          <w:color w:val="000000"/>
          <w:kern w:val="0"/>
          <w:lang w:val="es-CO" w:eastAsia="es-MX"/>
          <w14:ligatures w14:val="none"/>
        </w:rPr>
        <w:t>en caso de tener inquietudes adicionales.</w:t>
      </w:r>
    </w:p>
    <w:p w14:paraId="0A62FD9B"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12A7C82D"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Cordialmente</w:t>
      </w:r>
    </w:p>
    <w:p w14:paraId="49B727E9"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1282ED04"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(Fdo.) CLAUDIA HELENA OTÁLORA CRISTANCHO</w:t>
      </w:r>
    </w:p>
    <w:p w14:paraId="43CB5DFD"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Subdirectora de Fortalecimiento Institucional Territorial</w:t>
      </w:r>
    </w:p>
    <w:p w14:paraId="6BE17AD7" w14:textId="77777777" w:rsidR="00F96D28" w:rsidRPr="00F96D28" w:rsidRDefault="00F96D28" w:rsidP="00F96D28">
      <w:pPr>
        <w:jc w:val="both"/>
        <w:rPr>
          <w:rFonts w:ascii="Times New Roman" w:eastAsia="Times New Roman" w:hAnsi="Times New Roman" w:cs="Times New Roman"/>
          <w:kern w:val="0"/>
          <w:lang w:val="es-CO" w:eastAsia="es-MX"/>
          <w14:ligatures w14:val="none"/>
        </w:rPr>
      </w:pPr>
      <w:r w:rsidRPr="00F96D28">
        <w:rPr>
          <w:rFonts w:ascii="Verdana" w:eastAsia="Times New Roman" w:hAnsi="Verdana" w:cs="Times New Roman"/>
          <w:color w:val="000000"/>
          <w:kern w:val="0"/>
          <w:lang w:val="es-CO" w:eastAsia="es-MX"/>
          <w14:ligatures w14:val="none"/>
        </w:rPr>
        <w:t>Dirección General de Apoyo Fiscal</w:t>
      </w:r>
    </w:p>
    <w:p w14:paraId="44327255" w14:textId="77777777" w:rsidR="00F96D28" w:rsidRPr="00F96D28" w:rsidRDefault="00F96D28" w:rsidP="00F96D28">
      <w:pPr>
        <w:rPr>
          <w:rFonts w:ascii="Times New Roman" w:eastAsia="Times New Roman" w:hAnsi="Times New Roman" w:cs="Times New Roman"/>
          <w:kern w:val="0"/>
          <w:lang w:val="es-CO" w:eastAsia="es-MX"/>
          <w14:ligatures w14:val="none"/>
        </w:rPr>
      </w:pPr>
    </w:p>
    <w:p w14:paraId="69591542"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23257"/>
    <w:multiLevelType w:val="multilevel"/>
    <w:tmpl w:val="EC4003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5B361A"/>
    <w:multiLevelType w:val="multilevel"/>
    <w:tmpl w:val="680C2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1A74DB"/>
    <w:multiLevelType w:val="multilevel"/>
    <w:tmpl w:val="89F614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581A60"/>
    <w:multiLevelType w:val="multilevel"/>
    <w:tmpl w:val="10B66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844791"/>
    <w:multiLevelType w:val="multilevel"/>
    <w:tmpl w:val="B0AEB6B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4FD0178"/>
    <w:multiLevelType w:val="multilevel"/>
    <w:tmpl w:val="059476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53A7B74"/>
    <w:multiLevelType w:val="multilevel"/>
    <w:tmpl w:val="ADB69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85735864">
    <w:abstractNumId w:val="1"/>
  </w:num>
  <w:num w:numId="2" w16cid:durableId="1967806232">
    <w:abstractNumId w:val="0"/>
    <w:lvlOverride w:ilvl="0">
      <w:lvl w:ilvl="0">
        <w:numFmt w:val="decimal"/>
        <w:lvlText w:val="%1."/>
        <w:lvlJc w:val="left"/>
      </w:lvl>
    </w:lvlOverride>
  </w:num>
  <w:num w:numId="3" w16cid:durableId="321323726">
    <w:abstractNumId w:val="6"/>
  </w:num>
  <w:num w:numId="4" w16cid:durableId="160437078">
    <w:abstractNumId w:val="4"/>
    <w:lvlOverride w:ilvl="0">
      <w:lvl w:ilvl="0">
        <w:numFmt w:val="decimal"/>
        <w:lvlText w:val="%1."/>
        <w:lvlJc w:val="left"/>
      </w:lvl>
    </w:lvlOverride>
  </w:num>
  <w:num w:numId="5" w16cid:durableId="36470646">
    <w:abstractNumId w:val="5"/>
    <w:lvlOverride w:ilvl="0">
      <w:lvl w:ilvl="0">
        <w:numFmt w:val="decimal"/>
        <w:lvlText w:val="%1."/>
        <w:lvlJc w:val="left"/>
      </w:lvl>
    </w:lvlOverride>
  </w:num>
  <w:num w:numId="6" w16cid:durableId="2079748378">
    <w:abstractNumId w:val="3"/>
  </w:num>
  <w:num w:numId="7" w16cid:durableId="159659394">
    <w:abstractNumId w:val="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D28"/>
    <w:rsid w:val="000B2285"/>
    <w:rsid w:val="00537D8F"/>
    <w:rsid w:val="00956539"/>
    <w:rsid w:val="00B83A7B"/>
    <w:rsid w:val="00F92281"/>
    <w:rsid w:val="00F96D28"/>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4F99B66"/>
  <w14:defaultImageDpi w14:val="32767"/>
  <w15:chartTrackingRefBased/>
  <w15:docId w15:val="{9CB3C060-EE6A-594E-8E7E-FB4C40B2A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96D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96D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96D2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96D2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96D2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96D28"/>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96D28"/>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96D28"/>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96D28"/>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96D2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96D2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96D2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96D2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96D2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96D2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96D2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96D2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96D28"/>
    <w:rPr>
      <w:rFonts w:eastAsiaTheme="majorEastAsia" w:cstheme="majorBidi"/>
      <w:color w:val="272727" w:themeColor="text1" w:themeTint="D8"/>
    </w:rPr>
  </w:style>
  <w:style w:type="paragraph" w:styleId="Ttulo">
    <w:name w:val="Title"/>
    <w:basedOn w:val="Normal"/>
    <w:next w:val="Normal"/>
    <w:link w:val="TtuloCar"/>
    <w:uiPriority w:val="10"/>
    <w:qFormat/>
    <w:rsid w:val="00F96D28"/>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96D2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96D28"/>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96D2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96D28"/>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96D28"/>
    <w:rPr>
      <w:i/>
      <w:iCs/>
      <w:color w:val="404040" w:themeColor="text1" w:themeTint="BF"/>
    </w:rPr>
  </w:style>
  <w:style w:type="paragraph" w:styleId="Prrafodelista">
    <w:name w:val="List Paragraph"/>
    <w:basedOn w:val="Normal"/>
    <w:uiPriority w:val="34"/>
    <w:qFormat/>
    <w:rsid w:val="00F96D28"/>
    <w:pPr>
      <w:ind w:left="720"/>
      <w:contextualSpacing/>
    </w:pPr>
  </w:style>
  <w:style w:type="character" w:styleId="nfasisintenso">
    <w:name w:val="Intense Emphasis"/>
    <w:basedOn w:val="Fuentedeprrafopredeter"/>
    <w:uiPriority w:val="21"/>
    <w:qFormat/>
    <w:rsid w:val="00F96D28"/>
    <w:rPr>
      <w:i/>
      <w:iCs/>
      <w:color w:val="2F5496" w:themeColor="accent1" w:themeShade="BF"/>
    </w:rPr>
  </w:style>
  <w:style w:type="paragraph" w:styleId="Citadestacada">
    <w:name w:val="Intense Quote"/>
    <w:basedOn w:val="Normal"/>
    <w:next w:val="Normal"/>
    <w:link w:val="CitadestacadaCar"/>
    <w:uiPriority w:val="30"/>
    <w:qFormat/>
    <w:rsid w:val="00F96D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96D28"/>
    <w:rPr>
      <w:i/>
      <w:iCs/>
      <w:color w:val="2F5496" w:themeColor="accent1" w:themeShade="BF"/>
    </w:rPr>
  </w:style>
  <w:style w:type="character" w:styleId="Referenciaintensa">
    <w:name w:val="Intense Reference"/>
    <w:basedOn w:val="Fuentedeprrafopredeter"/>
    <w:uiPriority w:val="32"/>
    <w:qFormat/>
    <w:rsid w:val="00F96D28"/>
    <w:rPr>
      <w:b/>
      <w:bCs/>
      <w:smallCaps/>
      <w:color w:val="2F5496" w:themeColor="accent1" w:themeShade="BF"/>
      <w:spacing w:val="5"/>
    </w:rPr>
  </w:style>
  <w:style w:type="paragraph" w:styleId="NormalWeb">
    <w:name w:val="Normal (Web)"/>
    <w:basedOn w:val="Normal"/>
    <w:uiPriority w:val="99"/>
    <w:semiHidden/>
    <w:unhideWhenUsed/>
    <w:rsid w:val="00F96D28"/>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F96D28"/>
  </w:style>
  <w:style w:type="character" w:styleId="Hipervnculo">
    <w:name w:val="Hyperlink"/>
    <w:basedOn w:val="Fuentedeprrafopredeter"/>
    <w:uiPriority w:val="99"/>
    <w:semiHidden/>
    <w:unhideWhenUsed/>
    <w:rsid w:val="00F96D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inhacienda.gov.co/webcenter/portal/EntidadesdeOrdenTerritorial/pages_asesorasyconceptos" TargetMode="External"/><Relationship Id="rId5" Type="http://schemas.openxmlformats.org/officeDocument/2006/relationships/hyperlink" Target="http://www.minhacienda.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1483</Words>
  <Characters>8157</Characters>
  <Application>Microsoft Office Word</Application>
  <DocSecurity>0</DocSecurity>
  <Lines>67</Lines>
  <Paragraphs>19</Paragraphs>
  <ScaleCrop>false</ScaleCrop>
  <Company/>
  <LinksUpToDate>false</LinksUpToDate>
  <CharactersWithSpaces>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2025-10-23T16:03:00Z</dcterms:created>
  <dcterms:modified xsi:type="dcterms:W3CDTF">2025-10-23T16:05:00Z</dcterms:modified>
</cp:coreProperties>
</file>