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928E1"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color w:val="000000"/>
          <w:kern w:val="0"/>
          <w:lang w:val="es-CO" w:eastAsia="es-MX"/>
          <w14:ligatures w14:val="none"/>
        </w:rPr>
        <w:t>CONCEPTO 46849 DEL 31 DE JULIO DE 2025</w:t>
      </w:r>
    </w:p>
    <w:p w14:paraId="7821FFE0"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color w:val="000000"/>
          <w:kern w:val="0"/>
          <w:lang w:val="es-CO" w:eastAsia="es-MX"/>
          <w14:ligatures w14:val="none"/>
        </w:rPr>
        <w:t>DIRECCIÓN DE APOYO FISCAL</w:t>
      </w:r>
    </w:p>
    <w:p w14:paraId="4B6220CC"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E9105A8"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Doctora</w:t>
      </w:r>
    </w:p>
    <w:p w14:paraId="6C92C5CF" w14:textId="77777777" w:rsidR="009C5193" w:rsidRPr="009C5193" w:rsidRDefault="009C5193" w:rsidP="009C5193">
      <w:pPr>
        <w:jc w:val="both"/>
        <w:outlineLvl w:val="0"/>
        <w:rPr>
          <w:rFonts w:ascii="Times New Roman" w:eastAsia="Times New Roman" w:hAnsi="Times New Roman" w:cs="Times New Roman"/>
          <w:b/>
          <w:bCs/>
          <w:kern w:val="36"/>
          <w:sz w:val="48"/>
          <w:szCs w:val="48"/>
          <w:lang w:val="es-CO" w:eastAsia="es-MX"/>
          <w14:ligatures w14:val="none"/>
        </w:rPr>
      </w:pPr>
      <w:r w:rsidRPr="009C5193">
        <w:rPr>
          <w:rFonts w:ascii="Verdana" w:eastAsia="Times New Roman" w:hAnsi="Verdana" w:cs="Times New Roman"/>
          <w:b/>
          <w:bCs/>
          <w:color w:val="000000"/>
          <w:kern w:val="36"/>
          <w:lang w:val="es-CO" w:eastAsia="es-MX"/>
          <w14:ligatures w14:val="none"/>
        </w:rPr>
        <w:t>Angela Johanna Osorio Urrego</w:t>
      </w:r>
    </w:p>
    <w:p w14:paraId="55BB96DA"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Secretaria de Hacienda</w:t>
      </w:r>
    </w:p>
    <w:p w14:paraId="1896FE64" w14:textId="77777777" w:rsidR="009C5193" w:rsidRPr="009C5193" w:rsidRDefault="009C5193" w:rsidP="009C5193">
      <w:pPr>
        <w:jc w:val="both"/>
        <w:outlineLvl w:val="0"/>
        <w:rPr>
          <w:rFonts w:ascii="Times New Roman" w:eastAsia="Times New Roman" w:hAnsi="Times New Roman" w:cs="Times New Roman"/>
          <w:b/>
          <w:bCs/>
          <w:kern w:val="36"/>
          <w:sz w:val="48"/>
          <w:szCs w:val="48"/>
          <w:lang w:val="es-CO" w:eastAsia="es-MX"/>
          <w14:ligatures w14:val="none"/>
        </w:rPr>
      </w:pPr>
      <w:r w:rsidRPr="009C5193">
        <w:rPr>
          <w:rFonts w:ascii="Verdana" w:eastAsia="Times New Roman" w:hAnsi="Verdana" w:cs="Times New Roman"/>
          <w:b/>
          <w:bCs/>
          <w:color w:val="000000"/>
          <w:kern w:val="36"/>
          <w:lang w:val="es-CO" w:eastAsia="es-MX"/>
          <w14:ligatures w14:val="none"/>
        </w:rPr>
        <w:t>Alcaldía Municipal de Montenegro</w:t>
      </w:r>
    </w:p>
    <w:p w14:paraId="73AA09F5"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hyperlink r:id="rId5" w:history="1">
        <w:r w:rsidRPr="009C5193">
          <w:rPr>
            <w:rFonts w:ascii="Verdana" w:eastAsia="Times New Roman" w:hAnsi="Verdana" w:cs="Times New Roman"/>
            <w:color w:val="0000FF"/>
            <w:kern w:val="0"/>
            <w:u w:val="single"/>
            <w:lang w:val="es-CO" w:eastAsia="es-MX"/>
            <w14:ligatures w14:val="none"/>
          </w:rPr>
          <w:t>hacienda@montenegro-quindio.gov.co</w:t>
        </w:r>
      </w:hyperlink>
      <w:r w:rsidRPr="009C5193">
        <w:rPr>
          <w:rFonts w:ascii="Verdana" w:eastAsia="Times New Roman" w:hAnsi="Verdana" w:cs="Times New Roman"/>
          <w:color w:val="0000FF"/>
          <w:kern w:val="0"/>
          <w:lang w:val="es-CO" w:eastAsia="es-MX"/>
          <w14:ligatures w14:val="none"/>
        </w:rPr>
        <w:t> </w:t>
      </w:r>
    </w:p>
    <w:p w14:paraId="5D4CEEB8"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hyperlink r:id="rId6" w:history="1">
        <w:r w:rsidRPr="009C5193">
          <w:rPr>
            <w:rFonts w:ascii="Verdana" w:eastAsia="Times New Roman" w:hAnsi="Verdana" w:cs="Times New Roman"/>
            <w:color w:val="0000FF"/>
            <w:kern w:val="0"/>
            <w:u w:val="single"/>
            <w:lang w:val="es-CO" w:eastAsia="es-MX"/>
            <w14:ligatures w14:val="none"/>
          </w:rPr>
          <w:t>haciendamontenegropqr@gmail.com</w:t>
        </w:r>
      </w:hyperlink>
    </w:p>
    <w:p w14:paraId="6B6EE64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8851F0B"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Radicado: 2-2025-046849</w:t>
      </w:r>
    </w:p>
    <w:p w14:paraId="4604960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8FC6AC0"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Bogotá D.C., 31 de julio de 2025 13:16</w:t>
      </w:r>
    </w:p>
    <w:p w14:paraId="46982A4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69AE086"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Radicado entrada 1-2025-068787 No. Expediente 9998/2025/GEA</w:t>
      </w:r>
    </w:p>
    <w:p w14:paraId="0EA462C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36D3312"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Tema:</w:t>
      </w:r>
      <w:r w:rsidRPr="009C5193">
        <w:rPr>
          <w:rFonts w:ascii="Verdana" w:eastAsia="Times New Roman" w:hAnsi="Verdana" w:cs="Times New Roman"/>
          <w:color w:val="000000"/>
          <w:kern w:val="0"/>
          <w:lang w:val="es-CO" w:eastAsia="es-MX"/>
          <w14:ligatures w14:val="none"/>
        </w:rPr>
        <w:tab/>
        <w:t>Procedimiento Tributario Territorial</w:t>
      </w:r>
    </w:p>
    <w:p w14:paraId="1F4D12C8"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Subtema:</w:t>
      </w:r>
      <w:r w:rsidRPr="009C5193">
        <w:rPr>
          <w:rFonts w:ascii="Verdana" w:eastAsia="Times New Roman" w:hAnsi="Verdana" w:cs="Times New Roman"/>
          <w:color w:val="000000"/>
          <w:kern w:val="0"/>
          <w:lang w:val="es-CO" w:eastAsia="es-MX"/>
          <w14:ligatures w14:val="none"/>
        </w:rPr>
        <w:tab/>
        <w:t>Depuración contable</w:t>
      </w:r>
    </w:p>
    <w:p w14:paraId="6AD642F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8D311E9"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Respetada doctora Osorio:</w:t>
      </w:r>
    </w:p>
    <w:p w14:paraId="1462E2F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0A94CCF"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Mediante oficio dirigido este Despacho y radicado con número 1-2025-068787 efectúa usted una serie de consultas en relación con los procesos de depuración o saneamiento contable.</w:t>
      </w:r>
    </w:p>
    <w:p w14:paraId="69F4747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2240BAF"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Sea lo primero precisar que los pronunciamientos de esta Dirección se emiten en los términos y con los estrictos alcances de los artículos 142 y 28 del Código de Procedimiento Administrativo y de lo Contencioso Administrativo, por lo que la respuesta es general, no tiene efectos obligatorios ni vinculantes, y no compromete la responsabilidad de este Ministerio.</w:t>
      </w:r>
    </w:p>
    <w:p w14:paraId="1BE12359"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715E0F4"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Con esto en mente, procederemos a resolver sus consultas en el mismo orden en que fueron formuladas, agrupándolas en caso que resulte procedente. Consulta usted:</w:t>
      </w:r>
    </w:p>
    <w:p w14:paraId="0D63BF65"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46B2357F" w14:textId="77777777" w:rsidR="009C5193" w:rsidRPr="009C5193" w:rsidRDefault="009C5193" w:rsidP="009C5193">
      <w:pPr>
        <w:numPr>
          <w:ilvl w:val="0"/>
          <w:numId w:val="1"/>
        </w:numPr>
        <w:ind w:left="927"/>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¿Solicito que se me informe cuáles son los parámetros jurídicos y contables que se deben considerar para determinar la procedencia y aplicación del procedimiento de depuración de saldos contables en el municipio?</w:t>
      </w:r>
    </w:p>
    <w:p w14:paraId="3DBB1EA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E92E9FE"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Respecto de las labores de saneamiento de acreencias de difícil o imposible cobro el artículo 2 de la Ley 1066 de 2006 señala:</w:t>
      </w:r>
    </w:p>
    <w:p w14:paraId="7527978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AEC0EBA"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lastRenderedPageBreak/>
        <w:t>“Artículo 2°. Obligaciones de las entidades públicas que tengan cartera a su favor. Cada una de las entidades públicas que de manera permanente tengan a su cargo el ejercicio de las actividades y funciones administrativas o la prestación de servicios del Estado y que dentro de estas tengan que recaudar rentas o caudales públicos del nivel nacional o territorial deberán:</w:t>
      </w:r>
    </w:p>
    <w:p w14:paraId="1CFDA76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A0BC5E0"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1. </w:t>
      </w:r>
      <w:r w:rsidRPr="009C5193">
        <w:rPr>
          <w:rFonts w:ascii="Verdana" w:eastAsia="Times New Roman" w:hAnsi="Verdana" w:cs="Times New Roman"/>
          <w:i/>
          <w:iCs/>
          <w:color w:val="000000"/>
          <w:kern w:val="0"/>
          <w:u w:val="single"/>
          <w:lang w:val="es-CO" w:eastAsia="es-MX"/>
          <w14:ligatures w14:val="none"/>
        </w:rPr>
        <w:t>Establecer mediante normatividad de carácter general, por parte de la máxima</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autoridad o representante legal de la entidad pública, el Reglamento Interno del</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Recaudo de Cartera</w:t>
      </w:r>
      <w:r w:rsidRPr="009C5193">
        <w:rPr>
          <w:rFonts w:ascii="Verdana" w:eastAsia="Times New Roman" w:hAnsi="Verdana" w:cs="Times New Roman"/>
          <w:i/>
          <w:iCs/>
          <w:color w:val="000000"/>
          <w:kern w:val="0"/>
          <w:lang w:val="es-CO" w:eastAsia="es-MX"/>
          <w14:ligatures w14:val="none"/>
        </w:rPr>
        <w:t xml:space="preserve">, con sujeción a lo dispuesto en la presente ley, el cual deberá incluir las condiciones relativas a la celebración de acuerdos de pago. (…)” </w:t>
      </w:r>
      <w:r w:rsidRPr="009C5193">
        <w:rPr>
          <w:rFonts w:ascii="Verdana" w:eastAsia="Times New Roman" w:hAnsi="Verdana" w:cs="Times New Roman"/>
          <w:color w:val="000000"/>
          <w:kern w:val="0"/>
          <w:lang w:val="es-CO" w:eastAsia="es-MX"/>
          <w14:ligatures w14:val="none"/>
        </w:rPr>
        <w:t>(Subrayado nuestro)</w:t>
      </w:r>
    </w:p>
    <w:p w14:paraId="40B309B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F880460"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De acuerdo con lo anterior, en su Reglamento Interno del Recaudo de Cartera debe determinarse el procedimiento a seguir para efectos de depuración de cartera, así como los criterios de clasificación de dicha cartera.</w:t>
      </w:r>
    </w:p>
    <w:p w14:paraId="101CA36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5B4852C"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Como indicamos en el boletín Apoyo a la Gestión Tributaria de las Entidades Territoriales número tres: “</w:t>
      </w:r>
      <w:r w:rsidRPr="009C5193">
        <w:rPr>
          <w:rFonts w:ascii="Verdana" w:eastAsia="Times New Roman" w:hAnsi="Verdana" w:cs="Times New Roman"/>
          <w:i/>
          <w:iCs/>
          <w:color w:val="000000"/>
          <w:kern w:val="0"/>
          <w:lang w:val="es-CO" w:eastAsia="es-MX"/>
          <w14:ligatures w14:val="none"/>
        </w:rPr>
        <w:t>Para gestionar la cartera de cualquier entidad lo primero que se debe hacer es conocerla, es decir, determinar el monto de las deudas a favor de la entidad, excluyendo aquellos conceptos que no son exigibles por la inexistencia de títulos ejecutivos y la identificación de los registros que presentan inconsistencias en la información, información incompleta, como la falta de identificación del deudor con el fin de adelantar las acciones para solucionar esas deficiencias.</w:t>
      </w:r>
    </w:p>
    <w:p w14:paraId="6965C70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090E316"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El reglamento deberá establecer la obligación de generar periódicamente el reporte del monto total de cartera y el seguimiento mensual de su evolución, tanto en su monto global, como por cada grupo de cartera de acuerdo a los criterios de clasificación</w:t>
      </w:r>
      <w:r w:rsidRPr="009C5193">
        <w:rPr>
          <w:rFonts w:ascii="Verdana" w:eastAsia="Times New Roman" w:hAnsi="Verdana" w:cs="Times New Roman"/>
          <w:color w:val="000000"/>
          <w:kern w:val="0"/>
          <w:lang w:val="es-CO" w:eastAsia="es-MX"/>
          <w14:ligatures w14:val="none"/>
        </w:rPr>
        <w:t>.”</w:t>
      </w:r>
    </w:p>
    <w:p w14:paraId="5164756B"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5F96D15"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 xml:space="preserve">Así las cosas, la respuesta a su inquietud deberá buscarse en el reglamento interno de recaudo de cartera de su entidad, y en caso de no tenerlo deberá procederse a su expedición, para lo cual consideramos importante que se tenga en cuenta lo señalado en la Resolución No. 357 de 2008 proferida por el Contador General de la Nación y en el oficio No. 200912138623 proferido por el </w:t>
      </w:r>
      <w:proofErr w:type="spellStart"/>
      <w:r w:rsidRPr="009C5193">
        <w:rPr>
          <w:rFonts w:ascii="Verdana" w:eastAsia="Times New Roman" w:hAnsi="Verdana" w:cs="Times New Roman"/>
          <w:color w:val="000000"/>
          <w:kern w:val="0"/>
          <w:lang w:val="es-CO" w:eastAsia="es-MX"/>
          <w14:ligatures w14:val="none"/>
        </w:rPr>
        <w:t>Subcontador</w:t>
      </w:r>
      <w:proofErr w:type="spellEnd"/>
      <w:r w:rsidRPr="009C5193">
        <w:rPr>
          <w:rFonts w:ascii="Verdana" w:eastAsia="Times New Roman" w:hAnsi="Verdana" w:cs="Times New Roman"/>
          <w:color w:val="000000"/>
          <w:kern w:val="0"/>
          <w:lang w:val="es-CO" w:eastAsia="es-MX"/>
          <w14:ligatures w14:val="none"/>
        </w:rPr>
        <w:t xml:space="preserve"> General y de Investigación de la Contaduría General de la Nación, en el que se pronuncia con claridad sobre este tema señalando:</w:t>
      </w:r>
    </w:p>
    <w:p w14:paraId="1CDA6A1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224B553"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lastRenderedPageBreak/>
        <w:t>“(…) Adicionalmente, el numeral 3 del “Procedimiento para la implementación y evaluación del control interno contable y de reporte del informe anual de evaluación de la Contaduría General de la Nación” adoptado mediante la Resolución 357 de 2008, dispone que con el propósito de lograr una información contable con características de confiabilidad, relevancia y comprensibilidad, las entidades públicas deben observar los siguientes elementos, dentro de los cuales citamos:</w:t>
      </w:r>
    </w:p>
    <w:p w14:paraId="554CD0C5"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7EF2086E"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“3.1 Depuración contable permanente y sostenibilidad.</w:t>
      </w:r>
    </w:p>
    <w:p w14:paraId="263A664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971ED63"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Las entidades contables públicas cuya información contable no refleje su realidad financiera, económica, social y ambiental, deben adelantar todas las veces que sea necesario las gestiones administrativas para depurar las cifras y demás datos contenidos en los estados, informes y reportes contables, de tal forma que estos cumplan las características </w:t>
      </w:r>
      <w:proofErr w:type="spellStart"/>
      <w:r w:rsidRPr="009C5193">
        <w:rPr>
          <w:rFonts w:ascii="Verdana" w:eastAsia="Times New Roman" w:hAnsi="Verdana" w:cs="Times New Roman"/>
          <w:i/>
          <w:iCs/>
          <w:color w:val="000000"/>
          <w:kern w:val="0"/>
          <w:lang w:val="es-CO" w:eastAsia="es-MX"/>
          <w14:ligatures w14:val="none"/>
        </w:rPr>
        <w:t>cualiativas</w:t>
      </w:r>
      <w:proofErr w:type="spellEnd"/>
      <w:r w:rsidRPr="009C5193">
        <w:rPr>
          <w:rFonts w:ascii="Verdana" w:eastAsia="Times New Roman" w:hAnsi="Verdana" w:cs="Times New Roman"/>
          <w:i/>
          <w:iCs/>
          <w:color w:val="000000"/>
          <w:kern w:val="0"/>
          <w:lang w:val="es-CO" w:eastAsia="es-MX"/>
          <w14:ligatures w14:val="none"/>
        </w:rPr>
        <w:t xml:space="preserve"> de confiabilidad, relevancia y comprensibilidad de que trata el marco conceptual del Plan General de Contabilidad Pública.</w:t>
      </w:r>
    </w:p>
    <w:p w14:paraId="12ACA8AA"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4CF2FFE"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Por lo anterior, las entidades contables públicas tendrán en cuenta las diferentes circunstancias por las cuales se refleja en los estados, informes y reportes contables las cifras y demás datos sin razonabilidad. También deben determinarse las razones por las cuales no se han incorporado en la contabilidad los bienes, derechos y obligaciones de la entidad.</w:t>
      </w:r>
    </w:p>
    <w:p w14:paraId="1B70D98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355B0A3"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Atendiendo lo dispuesto en el Régimen de Contabilidad Pública, las entidades deben adelantar las acciones pertinentes a efectos de depurar la información contable, así como implementar los controles que sean necesarios para mejorar la calidad de la información.</w:t>
      </w:r>
    </w:p>
    <w:p w14:paraId="19663795"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16F04D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En todo caso, se deben adelantar las acciones administrativas necesarias para evitar</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que la información contable revele situaciones tales como:</w:t>
      </w:r>
    </w:p>
    <w:p w14:paraId="1B1A021A"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4FCF704B" w14:textId="77777777" w:rsidR="009C5193" w:rsidRPr="009C5193" w:rsidRDefault="009C5193" w:rsidP="009C5193">
      <w:pPr>
        <w:numPr>
          <w:ilvl w:val="0"/>
          <w:numId w:val="2"/>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 Valores que afecten la situación patrimonial y no representen derechos, bienes u</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obligaciones para la entidad.</w:t>
      </w:r>
    </w:p>
    <w:p w14:paraId="6413D236"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6774457F" w14:textId="77777777" w:rsidR="009C5193" w:rsidRPr="009C5193" w:rsidRDefault="009C5193" w:rsidP="009C5193">
      <w:pPr>
        <w:numPr>
          <w:ilvl w:val="0"/>
          <w:numId w:val="3"/>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 Derechos u obligaciones que, no obstante su existencia, no es posible realizarlos</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mediante la jurisdicción coactiva.</w:t>
      </w:r>
    </w:p>
    <w:p w14:paraId="729AF7D8"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3E230A16" w14:textId="77777777" w:rsidR="009C5193" w:rsidRPr="009C5193" w:rsidRDefault="009C5193" w:rsidP="009C5193">
      <w:pPr>
        <w:numPr>
          <w:ilvl w:val="0"/>
          <w:numId w:val="4"/>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lastRenderedPageBreak/>
        <w:t> Derechos u obligaciones respecto de los cuales no es posible ejercer su cobro o pago,</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por cuanto opera alguna causal relacionada con su extinción, según sea el caso.</w:t>
      </w:r>
    </w:p>
    <w:p w14:paraId="6146C821"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73788788" w14:textId="77777777" w:rsidR="009C5193" w:rsidRPr="009C5193" w:rsidRDefault="009C5193" w:rsidP="009C5193">
      <w:pPr>
        <w:numPr>
          <w:ilvl w:val="0"/>
          <w:numId w:val="5"/>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 Derechos u obligaciones que carecen de documentos soporte idóneos, a través de</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los cuales se puedan adelantar los procedimientos pertinentes para obtener su cobro o</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pago.</w:t>
      </w:r>
    </w:p>
    <w:p w14:paraId="71F45BAC"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466DCBA5" w14:textId="77777777" w:rsidR="009C5193" w:rsidRPr="009C5193" w:rsidRDefault="009C5193" w:rsidP="009C5193">
      <w:pPr>
        <w:numPr>
          <w:ilvl w:val="0"/>
          <w:numId w:val="6"/>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 Valores respecto de los cuales no haya sido legalmente posible su imputación a</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alguna persona por la pérdida de los bienes o derechos que representan.</w:t>
      </w:r>
    </w:p>
    <w:p w14:paraId="7D2A640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E4BB69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u w:val="single"/>
          <w:lang w:val="es-CO" w:eastAsia="es-MX"/>
          <w14:ligatures w14:val="none"/>
        </w:rPr>
        <w:t>Cuando la información contable se encuentre afectada por una o varias de las</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anteriores situaciones, deberán adelantarse las acciones correspondientes para</w:t>
      </w:r>
      <w:r w:rsidRPr="009C5193">
        <w:rPr>
          <w:rFonts w:ascii="Verdana" w:eastAsia="Times New Roman" w:hAnsi="Verdana" w:cs="Times New Roman"/>
          <w:i/>
          <w:iCs/>
          <w:color w:val="000000"/>
          <w:kern w:val="0"/>
          <w:lang w:val="es-CO" w:eastAsia="es-MX"/>
          <w14:ligatures w14:val="none"/>
        </w:rPr>
        <w:t xml:space="preserve"> concretar su respectiva depuración. En todo caso, el reconocimiento y revelación de este proceso se hará de conformidad con el Régimen de Contabilidad Pública.” </w:t>
      </w:r>
      <w:r w:rsidRPr="009C5193">
        <w:rPr>
          <w:rFonts w:ascii="Verdana" w:eastAsia="Times New Roman" w:hAnsi="Verdana" w:cs="Times New Roman"/>
          <w:color w:val="000000"/>
          <w:kern w:val="0"/>
          <w:lang w:val="es-CO" w:eastAsia="es-MX"/>
          <w14:ligatures w14:val="none"/>
        </w:rPr>
        <w:t>(Subrayado fuera de texto).</w:t>
      </w:r>
    </w:p>
    <w:p w14:paraId="19A856C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A152824"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Para dar cumplimiento a esta norma, sugerimos consultar las resoluciones 107 y 238 de 2017 de la Contaduría General de la Nación, así como la Resolución 193 de 2016, junto con su anexo.</w:t>
      </w:r>
    </w:p>
    <w:p w14:paraId="48B1DAD9"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6A2594A4" w14:textId="77777777" w:rsidR="009C5193" w:rsidRPr="009C5193" w:rsidRDefault="009C5193" w:rsidP="009C5193">
      <w:pPr>
        <w:numPr>
          <w:ilvl w:val="0"/>
          <w:numId w:val="7"/>
        </w:numPr>
        <w:ind w:left="927"/>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¿Solicito que se me indique cuáles son las causales aplicables para declarar la depuración de los saldos contables, respecto a la cartera de imposible recaudo?</w:t>
      </w:r>
    </w:p>
    <w:p w14:paraId="3EC4414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A0A0C21"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relación con este particular debemos iniciar señalando que no existe una disposición que señale causales para declarar la depuración de la cartera de imposible recaudo en lo que se refiere a las entidades del orden municipal, por lo que insistimos en que esta materia debe ser objeto de regulación en el Reglamento Interno de Recaudo de Carteta de la respectiva entidad.</w:t>
      </w:r>
    </w:p>
    <w:p w14:paraId="3E8009B5"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10135AD"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Ahora bien, en lo que se refiere a las entidades del orden nacional la Ley 1955 de 2019 dispone unos eventos en los que la cartera se considera de difícil recaudo y puede procederse con la depuración, en los siguientes términos:</w:t>
      </w:r>
    </w:p>
    <w:p w14:paraId="36750E4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3B1B13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“Artículo 66. Movilización de cartera. (…)</w:t>
      </w:r>
    </w:p>
    <w:p w14:paraId="12E8EC7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CC373E2"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w:t>
      </w:r>
    </w:p>
    <w:p w14:paraId="41416DDB"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62052B6"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En los eventos en que la cartera sea de imposible recaudo por la prescripción o caducidad de la acción, por la pérdida de fuerza ejecutoria del acto administrativo que le dio origen o por la inexistencia probada del deudor o su insolvencia demostrada y por tanto no sea posible ejercer los derechos de cobro o bien porque la relación costo- beneficio al realizar su cobro no resulta eficiente; las entidades estatales o públicas del orden nacional, podrán realizar la depuración definitiva de estos saldos contables, realizando un informe detallado de las causales por las cuales se depura y las excluirá de la gestión. (…)”. </w:t>
      </w:r>
      <w:r w:rsidRPr="009C5193">
        <w:rPr>
          <w:rFonts w:ascii="Verdana" w:eastAsia="Times New Roman" w:hAnsi="Verdana" w:cs="Times New Roman"/>
          <w:color w:val="000000"/>
          <w:kern w:val="0"/>
          <w:lang w:val="es-CO" w:eastAsia="es-MX"/>
          <w14:ligatures w14:val="none"/>
        </w:rPr>
        <w:t>(Se subraya)”</w:t>
      </w:r>
    </w:p>
    <w:p w14:paraId="2111D60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44C9014"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Esta disposición, aunque no es aplicable a las entidades territoriales sino solo a las del orden nacional, puede constituir un parámetro válido para establecer la regulación al interior de la entidad territorial</w:t>
      </w:r>
    </w:p>
    <w:p w14:paraId="4840185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DF1DF7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Adicionalmente, en relación con las causales o situaciones que dan lugar a la aplicación de procesos de saneamiento o depuración contable este Despacho señaló lo siguiente en Oficio 015967-17:</w:t>
      </w:r>
    </w:p>
    <w:p w14:paraId="23161A9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205F3B6"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“Recordemos que la cartera es el conjunto de acreencias a favor del municipio o departamento, consignadas en títulos ejecutivos que contienen obligaciones dinerarias de manera clara, expresa y exigible. Los registros de obligaciones de pago a favor del municipio que no consten en un título ejecutivo no deben incluirse como cartera hasta tanto no sea constituido el respectivo título ejecutivo.</w:t>
      </w:r>
    </w:p>
    <w:p w14:paraId="5963481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0D14BF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En igual sentido la Resolución 357 del 23 de julio de 2008, emitida por el Contador General de la Nación, prevé que las entidades públicas deben implementar planes de depuración y saneamiento de las cifras y demás datos contenidos en los estados, informes y reportes contables, de tal forma que estos cumplan las características cualitativas de confiabilidad, relevancia y comprensibilidad de que trata el marco conceptual del Plan General de Contabilidad Pública.</w:t>
      </w:r>
    </w:p>
    <w:p w14:paraId="085BD94A"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6AB92D8"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No se trata solamente de la obligación de presentar información confiable, sino principalmente de que esa información sirva para adelantar las actuaciones de recuperación de cartera de manera eficaz y evitar el inicio de procesos equivocados.</w:t>
      </w:r>
    </w:p>
    <w:p w14:paraId="3F2D53B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8F0845E"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A partir de lo anterior, presentamos algunos criterios a tener en cuenta por las entidades territoriales a efectos de adelantar las </w:t>
      </w:r>
      <w:r w:rsidRPr="009C5193">
        <w:rPr>
          <w:rFonts w:ascii="Verdana" w:eastAsia="Times New Roman" w:hAnsi="Verdana" w:cs="Times New Roman"/>
          <w:i/>
          <w:iCs/>
          <w:color w:val="000000"/>
          <w:kern w:val="0"/>
          <w:lang w:val="es-CO" w:eastAsia="es-MX"/>
          <w14:ligatures w14:val="none"/>
        </w:rPr>
        <w:lastRenderedPageBreak/>
        <w:t>acciones de saneamiento contable, particularmente en lo relacionado con la depuración de la cartera originada en obligaciones tributarias.</w:t>
      </w:r>
    </w:p>
    <w:p w14:paraId="4E12E689"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622EE2F"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De conformidad con el artículo 828 del Estatuto Tributario Nacional, prestan mérito ejecutivo:</w:t>
      </w:r>
    </w:p>
    <w:p w14:paraId="451867CD"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452FE6F" w14:textId="77777777" w:rsidR="009C5193" w:rsidRPr="009C5193" w:rsidRDefault="009C5193" w:rsidP="009C5193">
      <w:pPr>
        <w:numPr>
          <w:ilvl w:val="0"/>
          <w:numId w:val="8"/>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Las liquidaciones privadas y sus correcciones, contenidas en las declaraciones tributarias presentadas, desde el vencimiento de la fecha para su cancelación.</w:t>
      </w:r>
    </w:p>
    <w:p w14:paraId="0EF7D5CC"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4D1B50C" w14:textId="77777777" w:rsidR="009C5193" w:rsidRPr="009C5193" w:rsidRDefault="009C5193" w:rsidP="009C5193">
      <w:pPr>
        <w:numPr>
          <w:ilvl w:val="0"/>
          <w:numId w:val="9"/>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Las liquidaciones oficiales ejecutoriadas.</w:t>
      </w:r>
    </w:p>
    <w:p w14:paraId="0C1B6135"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116CEB8C" w14:textId="77777777" w:rsidR="009C5193" w:rsidRPr="009C5193" w:rsidRDefault="009C5193" w:rsidP="009C5193">
      <w:pPr>
        <w:numPr>
          <w:ilvl w:val="0"/>
          <w:numId w:val="10"/>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Los demás actos de la Administración de Impuestos debidamente ejecutoriados, en los cuales se fijen sumas líquidas de dinero a favor del fisco nacional.</w:t>
      </w:r>
    </w:p>
    <w:p w14:paraId="1A9523AB"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6686075F" w14:textId="77777777" w:rsidR="009C5193" w:rsidRPr="009C5193" w:rsidRDefault="009C5193" w:rsidP="009C5193">
      <w:pPr>
        <w:numPr>
          <w:ilvl w:val="0"/>
          <w:numId w:val="11"/>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Las garantías y cauciones prestadas a favor de la Nación para afianzar el pago de las obligaciones tributarias, a partir de la ejecutoria del acto de la Administración que declare el incumplimiento o exigibilidad de las obligaciones garantizadas.</w:t>
      </w:r>
    </w:p>
    <w:p w14:paraId="3ED5C6D1"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2A390AB5" w14:textId="77777777" w:rsidR="009C5193" w:rsidRPr="009C5193" w:rsidRDefault="009C5193" w:rsidP="009C5193">
      <w:pPr>
        <w:numPr>
          <w:ilvl w:val="0"/>
          <w:numId w:val="12"/>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Las sentencias y demás decisiones jurisdiccionales ejecutoriadas, que decidan sobre las demandas presentadas en relación con los impuestos, anticipos, retenciones, sanciones e intereses que administra la Dirección General de Impuestos Nacionales. </w:t>
      </w:r>
    </w:p>
    <w:p w14:paraId="695C7FDE"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CA257BE"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Parágrafo. Para efectos de los numerales 1 y 2 del presente artículo, bastará con la certificación del Administrador de Impuestos o su delegado, sobre la existencia y el valor de las liquidaciones privadas u oficiales.</w:t>
      </w:r>
    </w:p>
    <w:p w14:paraId="1B0CE3A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8871A8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Para el cobro de los intereses será suficiente la liquidación que de ellos haya efectuado el funcionario competente.</w:t>
      </w:r>
    </w:p>
    <w:p w14:paraId="5212374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FDEED58"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En consecuencia, no forman parte de la cartera los valores que no hayan sido previamente liquidados en una declaración tributaria o en un acto oficial de determinación oficial debidamente ejecutoriado. Aunque son menos frecuentes, los títulos ejecutivos enunciados en los numerales 4 y 5 aplican también para todos los impuestos territoriales.</w:t>
      </w:r>
    </w:p>
    <w:p w14:paraId="464400F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9E4EB54"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Para determinar si un acto administrativo se encuentra debidamente ejecutoriado, nos debemos remitir al Artículo 829 del Estatuto Tributario Nacional, según el cual esto ocurre en los siguientes eventos:</w:t>
      </w:r>
    </w:p>
    <w:p w14:paraId="1E24BDD3"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029305FF" w14:textId="77777777" w:rsidR="009C5193" w:rsidRPr="009C5193" w:rsidRDefault="009C5193" w:rsidP="009C5193">
      <w:pPr>
        <w:numPr>
          <w:ilvl w:val="0"/>
          <w:numId w:val="13"/>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Cuando contra ellos no procede recurso alguno;</w:t>
      </w:r>
    </w:p>
    <w:p w14:paraId="5D59BFE8"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72410EE" w14:textId="77777777" w:rsidR="009C5193" w:rsidRPr="009C5193" w:rsidRDefault="009C5193" w:rsidP="009C5193">
      <w:pPr>
        <w:numPr>
          <w:ilvl w:val="0"/>
          <w:numId w:val="14"/>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Cuando vencido el término para interponer los recursos, no se hayan interpuesto o no se presenten en debida forma;</w:t>
      </w:r>
    </w:p>
    <w:p w14:paraId="1DAA6FA7"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2E8A1071" w14:textId="77777777" w:rsidR="009C5193" w:rsidRPr="009C5193" w:rsidRDefault="009C5193" w:rsidP="009C5193">
      <w:pPr>
        <w:numPr>
          <w:ilvl w:val="0"/>
          <w:numId w:val="15"/>
        </w:numPr>
        <w:ind w:left="927"/>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Cuando se renuncie expresamente a los recursos o se desista de ellos, y</w:t>
      </w:r>
    </w:p>
    <w:p w14:paraId="01A5906D"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47A2631D" w14:textId="77777777" w:rsidR="009C5193" w:rsidRPr="009C5193" w:rsidRDefault="009C5193" w:rsidP="009C5193">
      <w:pPr>
        <w:numPr>
          <w:ilvl w:val="0"/>
          <w:numId w:val="16"/>
        </w:numPr>
        <w:jc w:val="both"/>
        <w:textAlignment w:val="baseline"/>
        <w:rPr>
          <w:rFonts w:ascii="Verdana" w:eastAsia="Times New Roman" w:hAnsi="Verdana" w:cs="Times New Roman"/>
          <w:i/>
          <w:iCs/>
          <w:color w:val="000000"/>
          <w:kern w:val="0"/>
          <w:lang w:val="es-CO" w:eastAsia="es-MX"/>
          <w14:ligatures w14:val="none"/>
        </w:rPr>
      </w:pPr>
      <w:r w:rsidRPr="009C5193">
        <w:rPr>
          <w:rFonts w:ascii="Verdana" w:eastAsia="Times New Roman" w:hAnsi="Verdana" w:cs="Times New Roman"/>
          <w:i/>
          <w:iCs/>
          <w:color w:val="000000"/>
          <w:kern w:val="0"/>
          <w:lang w:val="es-CO" w:eastAsia="es-MX"/>
          <w14:ligatures w14:val="none"/>
        </w:rPr>
        <w:t>Cuando los recursos interpuestos en la vía gubernativa o las acciones de restablecimiento del derecho o de revisión de impuestos se hayan decidido en forma definitiva, según el caso.</w:t>
      </w:r>
    </w:p>
    <w:p w14:paraId="3BC12E3F"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7D17FC9A"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En consecuencia, las obligaciones tributarias consignadas en actos administrativos de determinación oficial formarán parte de la cartera solamente cuando dichos actos se encuentren debidamente ejecutoriados, lo cual se verifica con la existencia del respectivo acto y la ocurrencia de los eventos enumerados en el artículo 829 del ETN.</w:t>
      </w:r>
    </w:p>
    <w:p w14:paraId="1C42985C"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1DBB100"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La ejecutoria no requiere de un pronunciamiento expreso por parte de un funcionario, oficina o dependencia. Basta con la verificación de los supuestos anotados.</w:t>
      </w:r>
    </w:p>
    <w:p w14:paraId="242233F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F2FE12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 partir de lo anterior consideramos que en el proceso de depuración de cartera deben tenerse en cuenta, entre otras, las siguientes situaciones, las cuales enmarcamos dentro de algunas de las causales señaladas en el artículo 59 de la Ley 1739 de 2014 modificado por la Ley 1753 de 2015 al que se refiere el artículo 355 de la Ley 1819 de 2016:</w:t>
      </w:r>
    </w:p>
    <w:p w14:paraId="7ADD298C"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18FC949"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Los derechos u obligaciones que carecen de documentos soporte idóneo que permitan adelantar los procedimientos pertinentes para su cobro o pago;</w:t>
      </w:r>
    </w:p>
    <w:p w14:paraId="5429BEE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08C6A8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La sola existencia de documentos en medio magnético o impreso, con indicación de valores adeudados, en tanto no puedan </w:t>
      </w:r>
      <w:r w:rsidRPr="009C5193">
        <w:rPr>
          <w:rFonts w:ascii="Verdana" w:eastAsia="Times New Roman" w:hAnsi="Verdana" w:cs="Times New Roman"/>
          <w:i/>
          <w:iCs/>
          <w:color w:val="000000"/>
          <w:kern w:val="0"/>
          <w:lang w:val="es-CO" w:eastAsia="es-MX"/>
          <w14:ligatures w14:val="none"/>
        </w:rPr>
        <w:lastRenderedPageBreak/>
        <w:t>considerarse actos administrativos ejecutoriados no son títulos ejecutivos. La administración municipal deberá evaluar las circunstancias propias de cada caso.</w:t>
      </w:r>
    </w:p>
    <w:p w14:paraId="05E0482B"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83D3BC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Si las obligaciones objeto de depuración por inexistencia de título ejecutivo se encuentran dentro del término para constituirlo, la Administración debe iniciar las actuaciones de determinación oficial correspondientes antes de que ocurra la pérdida de competencia temporal a la que nos referimos en seguida.</w:t>
      </w:r>
    </w:p>
    <w:p w14:paraId="302B87A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0FEFDC3"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Derechos u obligaciones con una antigüedad tal que no es posible ejercer su exigibilidad, por cuanto operan los fenómenos de prescripción o caducidad;</w:t>
      </w:r>
    </w:p>
    <w:p w14:paraId="2159E64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0E2F8E0"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La pérdida de competencia para proferir los actos de determinación oficial</w:t>
      </w:r>
    </w:p>
    <w:p w14:paraId="6E7251C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2B77C02"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Como se explica en el boletín número uno, de conformidad con las normas de procedimiento tributario, el término para liquidar oficialmente el impuesto es de cinco años contados desde la fecha de vencimiento del plazo para declarar (artículo 717 ETN). Transcurrido dicho término sin que se hubiera notificado el respectivo acto administrativo de liquidación oficial, la administración pierde la competencia para hacerlo. En consecuencia, los registros de obligaciones que no se encuentran liquidadas en un acto oficial debidamente ejecutoriado y cuya antigüedad sea superior a cinco años deben ser objeto de depuración, pues la administración ya no tiene competencia para constituir el título ejecutivo.</w:t>
      </w:r>
    </w:p>
    <w:p w14:paraId="441D2E3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E82FDDA"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La prescripción de la acción de cobro</w:t>
      </w:r>
    </w:p>
    <w:p w14:paraId="7251500F"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47954AC"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Este tema también fue abordado en la primera entrega del boletín Apoyo a la Gestión Tributaria de las Entidades Territoriales. Como se explicó allí, una vez existen los actos que prestan mérito ejecutivo (declaraciones, actos oficiales, etc.) podrá exigirse su pago con el procedimiento de cobro previsto en el mismo estatuto.</w:t>
      </w:r>
    </w:p>
    <w:p w14:paraId="2DB222A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5E918AC"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Verificada la existencia de los títulos ejecutivos, se debe establecer si aún se encuentran dentro de la oportunidad para exigir su pago, es decir, es deber de la administración confirmar, para cada título ejecutivo, si ha operado la extinción de la obligación por prescripción, conforme lo establece por el artículo 817 del ETN, modificado por el artículo 8 de la Ley 1066 de 2006.</w:t>
      </w:r>
    </w:p>
    <w:p w14:paraId="7A643F7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72E2E4C2"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lastRenderedPageBreak/>
        <w:t>Los valores que afectan la situación patrimonial y no representan derechos, bienes u obligaciones ciertos para la entidad;</w:t>
      </w:r>
    </w:p>
    <w:p w14:paraId="056ED95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894C9F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Además de las anteriores circunstancias, algunas entidades registran dentro de la cartera tributaria, registros de otras obligaciones inexistentes, por ejemplo: El registro de impuesto predial de los bienes de propiedad del municipio o el valor de impuestos inexistentes a cargo de bienes o entidades exentos o no sujetos al impuesto. La liquidación incorrecta de los intereses de mora resulta también en un mayor valor de la cartera.</w:t>
      </w:r>
    </w:p>
    <w:p w14:paraId="4F1560D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23052CD"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El saneamiento de la información contable supone, como medida básica, la verificación de que la información consignada en la contabilidad y los sistemas de información corresponda a hechos ciertos. Una medida básica de saneamiento consiste en depurar aquellos registros cuya información no coincida con el contenido de los documentos que la soportan ya sea por errores de transcripción (pueden ser de valores o de nombres, NIT o conceptos del pago), errores en la imputación de pagos, falta de registro de recibos de pago, entre otros.”</w:t>
      </w:r>
    </w:p>
    <w:p w14:paraId="12E53547"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7E399E1D" w14:textId="77777777" w:rsidR="009C5193" w:rsidRPr="009C5193" w:rsidRDefault="009C5193" w:rsidP="009C5193">
      <w:pPr>
        <w:numPr>
          <w:ilvl w:val="0"/>
          <w:numId w:val="17"/>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¿Cuál es el término establecido para declarar la prescripción de la acción de cobro de las obligaciones que se encuentren a favor de la administración? En el caso que haya ocurrido la interrupción a la prescripción ¿cuánto sería el término total para considerar que es viable declarar la prescripción y en consecuencia depurar los saldos contables?</w:t>
      </w:r>
    </w:p>
    <w:p w14:paraId="0373ADA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7D9C7E6"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5. ¿Cuál es el término que tiene la administración para emitir la liquidación oficial de las obligaciones que se encuentran a favor y cuáles son los parámetros que deben tener en cuenta para declarar la pérdida de competencia temporal sobre las obligaciones que se encuentran a favor de la administración?</w:t>
      </w:r>
    </w:p>
    <w:p w14:paraId="48D6691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48998F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relación con la prescripción y la pérdida de competencia este Despacho se pronunció mediante Oficio No. 018101-15 señalando las características de cada una de estas figuras y el conteo de los términos, el cual remitimos para su conocimiento y análisis.</w:t>
      </w:r>
    </w:p>
    <w:p w14:paraId="0DBD921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C9996AE"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 xml:space="preserve">No obstante, tenga en cuenta que en relación con el término para liquidar el impuesto predial unificado se ha pronunciado recientemente el Consejo de Estado señalando que debe hacerse dentro de los 5 años contados a </w:t>
      </w:r>
      <w:r w:rsidRPr="009C5193">
        <w:rPr>
          <w:rFonts w:ascii="Verdana" w:eastAsia="Times New Roman" w:hAnsi="Verdana" w:cs="Times New Roman"/>
          <w:color w:val="000000"/>
          <w:kern w:val="0"/>
          <w:lang w:val="es-CO" w:eastAsia="es-MX"/>
          <w14:ligatures w14:val="none"/>
        </w:rPr>
        <w:lastRenderedPageBreak/>
        <w:t>partir de su causación, que tiene lugar el 1 de enero de cada año. Remitimos copia del Oficio No. 012820-21 en el que se analiza este tema.</w:t>
      </w:r>
    </w:p>
    <w:p w14:paraId="6B36586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EE9E399"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Finalmente, en lo que se refiere a la interrupción de la prescripción se pronunció este Despacho de manera extensa mediante Oficio No. 039155-17, el cual remitimos para su conocimiento y análisis, en el que se concluye:</w:t>
      </w:r>
    </w:p>
    <w:p w14:paraId="0DCD346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45F583D"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“Conforme con la norma trascrita, el término de prescripción de la acción de cobro se interrumpe entre otras cosas por la notificación del mandamiento de pago y por el otorgamiento de facilidades de pago. Señala igualmente y de manera expresa que una vez notificado el mandamiento de pago “el término empezará a correr de nuevo desde el día siguiente a la notificación del mandamiento de pago”, lo que necesariamente implica que la administración </w:t>
      </w:r>
      <w:r w:rsidRPr="009C5193">
        <w:rPr>
          <w:rFonts w:ascii="Verdana" w:eastAsia="Times New Roman" w:hAnsi="Verdana" w:cs="Times New Roman"/>
          <w:i/>
          <w:iCs/>
          <w:color w:val="000000"/>
          <w:kern w:val="0"/>
          <w:u w:val="single"/>
          <w:lang w:val="es-CO" w:eastAsia="es-MX"/>
          <w14:ligatures w14:val="none"/>
        </w:rPr>
        <w:t>cuenta nuevamente con el término de cinco años a que</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hace referencia el artículo 817 del Estatuto Tributario Nacional para finalizar las</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i/>
          <w:iCs/>
          <w:color w:val="000000"/>
          <w:kern w:val="0"/>
          <w:u w:val="single"/>
          <w:lang w:val="es-CO" w:eastAsia="es-MX"/>
          <w14:ligatures w14:val="none"/>
        </w:rPr>
        <w:t>actuaciones propias del proceso de cobro</w:t>
      </w:r>
      <w:r w:rsidRPr="009C5193">
        <w:rPr>
          <w:rFonts w:ascii="Verdana" w:eastAsia="Times New Roman" w:hAnsi="Verdana" w:cs="Times New Roman"/>
          <w:i/>
          <w:iCs/>
          <w:color w:val="000000"/>
          <w:kern w:val="0"/>
          <w:lang w:val="es-CO" w:eastAsia="es-MX"/>
          <w14:ligatures w14:val="none"/>
        </w:rPr>
        <w:t xml:space="preserve">.” </w:t>
      </w:r>
      <w:r w:rsidRPr="009C5193">
        <w:rPr>
          <w:rFonts w:ascii="Verdana" w:eastAsia="Times New Roman" w:hAnsi="Verdana" w:cs="Times New Roman"/>
          <w:color w:val="000000"/>
          <w:kern w:val="0"/>
          <w:lang w:val="es-CO" w:eastAsia="es-MX"/>
          <w14:ligatures w14:val="none"/>
        </w:rPr>
        <w:t>(Subrayado fuera de texto)</w:t>
      </w:r>
    </w:p>
    <w:p w14:paraId="28C8DE5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D05D88A"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Las anteriores remisiones se efectúan conforme con lo señalado en el artículo 19 del Código de Procedimiento Administrativo y de lo Contencioso Administrativo, que señala “</w:t>
      </w:r>
      <w:r w:rsidRPr="009C5193">
        <w:rPr>
          <w:rFonts w:ascii="Verdana" w:eastAsia="Times New Roman" w:hAnsi="Verdana" w:cs="Times New Roman"/>
          <w:i/>
          <w:iCs/>
          <w:color w:val="000000"/>
          <w:kern w:val="0"/>
          <w:lang w:val="es-CO" w:eastAsia="es-MX"/>
          <w14:ligatures w14:val="none"/>
        </w:rPr>
        <w:t>…Respecto de peticiones reiterativas ya resueltas, la autoridad podrá remitirse a las respuestas anteriores.</w:t>
      </w:r>
    </w:p>
    <w:p w14:paraId="2450FD6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2170986"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4. Teniendo en cuenta que el impuesto predial se liquida en conjunto con la sobretasa bomberil y la sobretasa ambiental. En virtud de ello ¿solicito que me indique si la administración tiene la competencia para declarar la prescripción o pérdida de competencia temporal de la sobretasa bomberil y la sobretasa ambiental?</w:t>
      </w:r>
    </w:p>
    <w:p w14:paraId="58D54C1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9D51C9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Frente a este tema se pronunció este Despacho mediante Oficio No. 2-2023-055568 señalando que:</w:t>
      </w:r>
    </w:p>
    <w:p w14:paraId="4FB5DD7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EFCE7B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“…independientemente de la naturaleza, la sobretasa ambiental se recauda por los municipios, junto con el impuesto Predial Unificado, por lo que su recaudo, determinación y cobro se rigen por los procedimientos de dicho impuesto. En consecuencia, creemos que de operar el fenómeno de la prescripción para el impuesto Predial aplicará igualmente para las sobretasas que se cobran junto con este. Por lo tanto, le corresponde a la dependencia de la entidad territorial encargada de adelantar el procedimiento administrativo de cobro </w:t>
      </w:r>
      <w:r w:rsidRPr="009C5193">
        <w:rPr>
          <w:rFonts w:ascii="Verdana" w:eastAsia="Times New Roman" w:hAnsi="Verdana" w:cs="Times New Roman"/>
          <w:i/>
          <w:iCs/>
          <w:color w:val="000000"/>
          <w:kern w:val="0"/>
          <w:lang w:val="es-CO" w:eastAsia="es-MX"/>
          <w14:ligatures w14:val="none"/>
        </w:rPr>
        <w:lastRenderedPageBreak/>
        <w:t>coactivo del impuesto Predial Unificado, decretar la prescripción de la acción de cobro tanto de la obligación por concepto del Predial como de la sobretasa ambiental y la bomberil, si hay lugar, siempre que resulte procedente por el paso del tiempo conforme lo establecido en el artículo 817 del Estatuto Tributario Nacional.”</w:t>
      </w:r>
    </w:p>
    <w:p w14:paraId="1751D25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8FE0C72"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Así las cosas, en criterio de esta Dirección, el competente para declarar la existencia del fenómeno de la prescripción será la dependencia encargada de efectuar los procedimientos de cobro coactivo.</w:t>
      </w:r>
    </w:p>
    <w:p w14:paraId="053052E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9E90118"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Ahora bien, debe tenerse en cuenta que la entidad territorial en su calidad de recaudador de la sobretasa tiene el deber de adelantar todas las acciones encaminadas a obtener el pago del impuesto y las sobretasas asociadas de parte de los contribuyentes. En ese sentido, llamamos la atención sobre la importancia de adelantar los procesos de determinación y cobro para efectos de que el paso del tiempo no frustre la posibilidad de obtener el pago de estas sumas.”</w:t>
      </w:r>
    </w:p>
    <w:p w14:paraId="6ADBD0C1"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0DE4708E" w14:textId="77777777" w:rsidR="009C5193" w:rsidRPr="009C5193" w:rsidRDefault="009C5193" w:rsidP="009C5193">
      <w:pPr>
        <w:numPr>
          <w:ilvl w:val="0"/>
          <w:numId w:val="18"/>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¿Cuáles son los parámetros que debe tener en cuenta la administración para declarar la exclusión del cobro del impuesto predial unificado y los requisitos que debe cumplir el contribuyente para solicitar la exclusión de dicho impuesto?</w:t>
      </w:r>
    </w:p>
    <w:p w14:paraId="0FBEB56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24204A4"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De conformidad con los artículos 1, 287 y 294 de la Constitución Política las entidades territoriales gozan de autonomía para la gestión de sus intereses, en desarrollo de lo cual pueden otorgar exenciones respecto de sus propios tributos; para tal efecto, el concejo municipal debe tener en cuenta los siguientes requisitos al momento de aprobar un acuerdo en tal sentido:</w:t>
      </w:r>
    </w:p>
    <w:p w14:paraId="59B8C159"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1FDE4EE6" w14:textId="77777777" w:rsidR="009C5193" w:rsidRPr="009C5193" w:rsidRDefault="009C5193" w:rsidP="009C5193">
      <w:pPr>
        <w:numPr>
          <w:ilvl w:val="0"/>
          <w:numId w:val="19"/>
        </w:numPr>
        <w:ind w:left="360"/>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La consistencia de las exenciones tributarias con el plan de desarrollo y con el marco fiscal de mediano plazo;</w:t>
      </w:r>
    </w:p>
    <w:p w14:paraId="2E857FAF"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28023E8" w14:textId="77777777" w:rsidR="009C5193" w:rsidRPr="009C5193" w:rsidRDefault="009C5193" w:rsidP="009C5193">
      <w:pPr>
        <w:numPr>
          <w:ilvl w:val="0"/>
          <w:numId w:val="20"/>
        </w:numPr>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El estudio y presentación del impacto fiscal de la medida propuesta;</w:t>
      </w:r>
    </w:p>
    <w:p w14:paraId="18EE5220"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09D15D1C" w14:textId="77777777" w:rsidR="009C5193" w:rsidRPr="009C5193" w:rsidRDefault="009C5193" w:rsidP="009C5193">
      <w:pPr>
        <w:numPr>
          <w:ilvl w:val="0"/>
          <w:numId w:val="21"/>
        </w:numPr>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La presentación de los costos fiscales de la iniciativa y a la fuente alternativa 1. de financiación que genera los costos de una medida como la estudiada;</w:t>
      </w:r>
    </w:p>
    <w:p w14:paraId="3FEDB996"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1DF59519" w14:textId="77777777" w:rsidR="009C5193" w:rsidRPr="009C5193" w:rsidRDefault="009C5193" w:rsidP="009C5193">
      <w:pPr>
        <w:numPr>
          <w:ilvl w:val="0"/>
          <w:numId w:val="22"/>
        </w:numPr>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lastRenderedPageBreak/>
        <w:t>La limitación relativa al plazo de la exención, no más de diez años.</w:t>
      </w:r>
    </w:p>
    <w:p w14:paraId="71659F3E"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29B1272"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Es potestativo del concejo municipal establecer los beneficios tributarios mediante acuerdo, así como definir los beneficiarios del tratamiento, el término o periodos en los que opera, los requisitos y condiciones para acceder a este, y los demás asuntos relevantes al momento de determinar la condición de exento o no. Consideramos entonces que los beneficios tributarios que se otorguen deben enmarcarse en la razonabilidad y pertinencia en términos de beneficios para la comunidad y la administración, acompañándolos de un estudio financiero y social que contraste el costo-beneficio para el municipio, partiendo de la dinámica económica de la ciudad y el impacto (positivo y negativo) que implica la disminución del ingreso por dicho concepto.</w:t>
      </w:r>
    </w:p>
    <w:p w14:paraId="721F821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DCEB506"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De otra parte, deberá analizarse el costo de renunciar a los impuestos que se exonerarían frente a la sostenibilidad fiscal de la entidad territorial, en consonancia con el Marco Fiscal de Mediano Plazo y los objetivos previstos en el plan de desarrollo dando cumplimiento a lo dispuesto por el artículo 7 de la Ley 819 de 2003, que establece:</w:t>
      </w:r>
    </w:p>
    <w:p w14:paraId="3E038D0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94559CC"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“ARTÍCULO 7o. ANÁLISIS DEL IMPACTO FISCAL DE LAS NORMAS. En todo momento, el impacto fiscal de cualquier proyecto de ley, ordenanza o acuerdo, que ordene gasto o que otorgue beneficios tributarios, deberá hacerse explícito y deberá ser compatible con el Marco Fiscal de Mediano Plazo.</w:t>
      </w:r>
    </w:p>
    <w:p w14:paraId="6492B94E"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BDBC923"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Para estos propósitos, deberá incluirse expresamente en la exposición de motivos y en las ponencias de trámite respectivas los costos fiscales de la iniciativa y la fuente de ingreso adicional generada para el financiamiento de dicho costo. El Ministerio de Hacienda y Crédito Público, en cualquier tiempo durante el respectivo trámite en el Congreso de la República, deberá rendir su concepto frente a la consistencia de lo dispuesto en el inciso anterior. En ningún caso este concepto podrá ir en contravía del Marco Fiscal de Mediano Plazo. Este informe será publicado en la Gaceta del Congreso.</w:t>
      </w:r>
    </w:p>
    <w:p w14:paraId="69C041D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FA9E3BE"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Los proyectos de ley de iniciativa gubernamental, que planteen un gasto adicional o una reducción de ingresos, deberá contener la correspondiente fuente sustitutiva por disminución de gasto o aumentos de ingresos, lo cual deberá ser analizado y aprobado por el Ministerio de Hacienda y Crédito Público.</w:t>
      </w:r>
    </w:p>
    <w:p w14:paraId="0392AA52"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C9CCB68"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lastRenderedPageBreak/>
        <w:t>En las entidades territoriales, el trámite previsto en el inciso anterior será surtido ante la respectiva Secretaría de Hacienda o quien haga sus veces.”</w:t>
      </w:r>
    </w:p>
    <w:p w14:paraId="1634106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666EF8D"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Así las cosas, deberán incluirse expresamente en la exposición de motivos y en las ponencias de trámite, tanto los costos fiscales que implica la iniciativa, como la fuente de ingresos adicional con la que se financia el costo que representa establecer el beneficio tributario.</w:t>
      </w:r>
    </w:p>
    <w:p w14:paraId="1600D8C8"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9891AFE"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relación con los requisitos que debe cumplir el contribuyente para solicitar la exclusión de dicho impuesto dependerá de lo que haya establecido la entidad territorial, si se trata de beneficios tributarios establecidos por la entidad territorial.</w:t>
      </w:r>
    </w:p>
    <w:p w14:paraId="5BDD4DCD"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3FE8EE8" w14:textId="77777777" w:rsidR="009C5193" w:rsidRPr="009C5193" w:rsidRDefault="009C5193" w:rsidP="009C5193">
      <w:pPr>
        <w:numPr>
          <w:ilvl w:val="0"/>
          <w:numId w:val="23"/>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Para el caso que la administración declare la exclusión o exoneración del impuesto predial unificado que cumple con los requisitos establecidos en los acuerdos municipales ¿la administración tiene la competencia para declarar la exclusión o exoneración del cobro de la sobretasa bomberil y la sobretasa ambiental?</w:t>
      </w:r>
    </w:p>
    <w:p w14:paraId="67BD478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36DD970"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lo que se refiere a la sobretasa bomberil, por tratarse de un tributo de propiedad de las entidades territoriales consideramos que la administración tendría competencia para declarar la exclusión o exoneración para los predios que son excluidos o exonerados del impuesto predial unificado.</w:t>
      </w:r>
    </w:p>
    <w:p w14:paraId="083B7DE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D599CB8"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Ahora bien, en lo que se refiere a la sobretasa ambiental esta Dirección se pronunció mediante Oficio 2-2017-007005 del 9 de marzo de 2017, así:</w:t>
      </w:r>
    </w:p>
    <w:p w14:paraId="21DE399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553AA78"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 b. Tratándose de sobretasa:</w:t>
      </w:r>
    </w:p>
    <w:p w14:paraId="55BFB74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36E6F809"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En el evento en que el municipio no haya optado por participar un porcentaje de su recaudo a la Corporación Autónoma Regional, sino por el cobro de la sobretasa debe tenerse en cuenta que dicha sobretasa constituye un tributo independiente del impuesto predial cuyo beneficiario exclusivo son las Corporaciones Autónomas Regionales, por lo que respecto de él no se pueden predicar facultades de administración del tributo por parte de las entidades territoriales, pues como lo ha dicho de manera insistente la reciente jurisprudencia de las Altas Cortes, éstas sólo cumplen la función de meros recaudadores.</w:t>
      </w:r>
    </w:p>
    <w:p w14:paraId="55C6318F"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F680EF2"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lastRenderedPageBreak/>
        <w:t>Por ello, al encontrarnos frente a una renta de propiedad exclusiva de las autoridades ambientales consideramos necesario tener en cuenta lo expresado por la H. Corte Constitucional. Veamos:</w:t>
      </w:r>
    </w:p>
    <w:p w14:paraId="46122524"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127BE01"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“Este impuesto, de conformidad con lo analizado en la sentencia T-269 de 2001, “es una renta nacional, recaudada por los municipios con destino a la protección del medio ambiente y de los recursos naturales renovables, equivalente a un porcentaje sobre el total del recaudo del impuesto predial que se transfiere a las corporaciones autónomas regionales y municipales y cuya exención sólo puede ser tramitada mediante ley del Congreso, de conformidad con lo establecido en el artículo 338 de la Carta”.</w:t>
      </w:r>
    </w:p>
    <w:p w14:paraId="2CB103BB"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DE8EED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w:t>
      </w:r>
    </w:p>
    <w:p w14:paraId="0C1F2950"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280A3ED"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7.2. Bajo ese entendido, el gravamen contenido en el artículo 44 de la Ley 99 de 1993, el cual tiene un carácter de renta nacional y por tanto su exención sólo puede ser tramitada mediante ley del Congreso, de conformidad con lo establecido en el artículo 338 de la Carta, resulta </w:t>
      </w:r>
      <w:proofErr w:type="spellStart"/>
      <w:r w:rsidRPr="009C5193">
        <w:rPr>
          <w:rFonts w:ascii="Verdana" w:eastAsia="Times New Roman" w:hAnsi="Verdana" w:cs="Times New Roman"/>
          <w:i/>
          <w:iCs/>
          <w:color w:val="000000"/>
          <w:kern w:val="0"/>
          <w:lang w:val="es-CO" w:eastAsia="es-MX"/>
          <w14:ligatures w14:val="none"/>
        </w:rPr>
        <w:t>vulneratorio</w:t>
      </w:r>
      <w:proofErr w:type="spellEnd"/>
      <w:r w:rsidRPr="009C5193">
        <w:rPr>
          <w:rFonts w:ascii="Verdana" w:eastAsia="Times New Roman" w:hAnsi="Verdana" w:cs="Times New Roman"/>
          <w:i/>
          <w:iCs/>
          <w:color w:val="000000"/>
          <w:kern w:val="0"/>
          <w:lang w:val="es-CO" w:eastAsia="es-MX"/>
          <w14:ligatures w14:val="none"/>
        </w:rPr>
        <w:t xml:space="preserve"> del principio de igualdad de las distintas iglesias contenido en el artículo 19 Superior, al existir, hasta el momento, el beneficio de exclusión únicamente para la católica1.”</w:t>
      </w:r>
    </w:p>
    <w:p w14:paraId="3C1D87FA"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3F6433B"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En el mismo sentido, la sala de consulta y servicio civil del Consejo de Estado se pronunció en Concepto 1637 de 2005 en los siguientes términos:</w:t>
      </w:r>
    </w:p>
    <w:p w14:paraId="297E1E3A"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65A7135"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“De lo expuesto es entonces claro que se está en presencia de una "transferencia" que los municipios hacen a las corporaciones autónomas regionales, y no de un tributo u obligación fiscal a su cargo, y que por lo mismo estos recursos no les pertenecen sino que son ingresos propios de las corporaciones autónomas regionales, sobre los cuales las entidades territoriales son meros recaudadores.</w:t>
      </w:r>
    </w:p>
    <w:p w14:paraId="36B5EBCD"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7C23E060"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 xml:space="preserve">Utilizando el lenguaje del derecho civil para efectos de aclarar el concepto, se puede afirmar que estas rentas son de "propiedad" de las corporaciones, por lo que frente a ellos los municipios son "tenedores por cuenta ajena" y por lo mismo no existe, ni puede existir un "ánimo de señor y dueño" de estas entidades territoriales sobre los recursos cuyas características se analizan. En palabras del derecho administrativo se tiene entonces que estos recursos tienen origen en un impuesto cuyos sujetos pasivos son los propietarios o poseedores de los inmuebles, los sujetos activos son las corporaciones autónomas regionales quienes deben incluirlas en su </w:t>
      </w:r>
      <w:r w:rsidRPr="009C5193">
        <w:rPr>
          <w:rFonts w:ascii="Verdana" w:eastAsia="Times New Roman" w:hAnsi="Verdana" w:cs="Times New Roman"/>
          <w:i/>
          <w:iCs/>
          <w:color w:val="000000"/>
          <w:kern w:val="0"/>
          <w:lang w:val="es-CO" w:eastAsia="es-MX"/>
          <w14:ligatures w14:val="none"/>
        </w:rPr>
        <w:lastRenderedPageBreak/>
        <w:t>presupuesto de ingresos, mientras que los municipios son recaudadores del mismo, de manera que no pueden presupuestarlos como ingresos municipales, sino como transferencias.”</w:t>
      </w:r>
    </w:p>
    <w:p w14:paraId="0763B8F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17BB9966"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De acuerdo con lo anterior, consideramos que las entidades territoriales no tienen potestad para conceder beneficios tributarios, incluida la condición especial de pago, respecto de la sobretasa ambiental, toda vez que su papel es de meros recaudadores y en consecuencia no tienen facultades de administración o disposición sobre estos recursos.</w:t>
      </w:r>
    </w:p>
    <w:p w14:paraId="12F8A45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7C55F9D" w14:textId="77777777" w:rsidR="009C5193" w:rsidRPr="009C5193" w:rsidRDefault="009C5193" w:rsidP="009C5193">
      <w:pPr>
        <w:ind w:left="567"/>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Así las cosas, si un Municipio concede la condición especial de pago a favor de un contribuyente moroso del impuesto predial, dicha condición no podrá cobijar los valores que correspondan a la sobretasa ambiental. […]”</w:t>
      </w:r>
    </w:p>
    <w:p w14:paraId="19F20B37"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75A4F626" w14:textId="77777777" w:rsidR="009C5193" w:rsidRPr="009C5193" w:rsidRDefault="009C5193" w:rsidP="009C5193">
      <w:pPr>
        <w:numPr>
          <w:ilvl w:val="0"/>
          <w:numId w:val="24"/>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¿Solicito que se me indique si los predios de titularidad de la Dirección Nacional de Estupefacientes de Bogotá, D.C., Sociedad de Activos Especiales S.A.S y la Nación se encuentra excluidas del impuesto predial unificado por norma nacional?</w:t>
      </w:r>
    </w:p>
    <w:p w14:paraId="54840059"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670E296D" w14:textId="77777777" w:rsidR="009C5193" w:rsidRPr="009C5193" w:rsidRDefault="009C5193" w:rsidP="009C5193">
      <w:pPr>
        <w:numPr>
          <w:ilvl w:val="0"/>
          <w:numId w:val="25"/>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¿Solicito que me indique si los predios de titularidad de fundaciones o entidades sin ánimo de lucro se encuentran exentas o excluidas del cobro del impuesto predial unificado por norma nacional?</w:t>
      </w:r>
    </w:p>
    <w:p w14:paraId="2558254C"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19BA14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relación con este interrogante debemos señalar que a nivel de ley solo se encuentran vigentes las siguientes prohibiciones y exclusiones,</w:t>
      </w:r>
    </w:p>
    <w:p w14:paraId="0A865A37"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5F3F9F69" w14:textId="77777777" w:rsidR="009C5193" w:rsidRPr="009C5193" w:rsidRDefault="009C5193" w:rsidP="009C5193">
      <w:pPr>
        <w:numPr>
          <w:ilvl w:val="0"/>
          <w:numId w:val="26"/>
        </w:numPr>
        <w:ind w:left="360"/>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Sobre bienes de los municipios, establecida en el artículo 170 del Decreto Ley 1333 de 1986.</w:t>
      </w:r>
    </w:p>
    <w:p w14:paraId="26D35829"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14E9EEA5" w14:textId="77777777" w:rsidR="009C5193" w:rsidRPr="009C5193" w:rsidRDefault="009C5193" w:rsidP="009C5193">
      <w:pPr>
        <w:numPr>
          <w:ilvl w:val="0"/>
          <w:numId w:val="27"/>
        </w:numPr>
        <w:ind w:left="360"/>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A bienes de uso público establecidos en la ley 44 de 1990 y en la ley 1430 de 2010.</w:t>
      </w:r>
    </w:p>
    <w:p w14:paraId="6D74E9EF"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393F664B" w14:textId="77777777" w:rsidR="009C5193" w:rsidRPr="009C5193" w:rsidRDefault="009C5193" w:rsidP="009C5193">
      <w:pPr>
        <w:numPr>
          <w:ilvl w:val="0"/>
          <w:numId w:val="28"/>
        </w:numPr>
        <w:ind w:left="360"/>
        <w:jc w:val="both"/>
        <w:textAlignment w:val="baseline"/>
        <w:rPr>
          <w:rFonts w:ascii="Verdana" w:eastAsia="Times New Roman" w:hAnsi="Verdana" w:cs="Times New Roman"/>
          <w:color w:val="000000"/>
          <w:kern w:val="0"/>
          <w:lang w:val="es-CO" w:eastAsia="es-MX"/>
          <w14:ligatures w14:val="none"/>
        </w:rPr>
      </w:pPr>
      <w:r w:rsidRPr="009C5193">
        <w:rPr>
          <w:rFonts w:ascii="Verdana" w:eastAsia="Times New Roman" w:hAnsi="Verdana" w:cs="Times New Roman"/>
          <w:color w:val="000000"/>
          <w:kern w:val="0"/>
          <w:lang w:val="es-CO" w:eastAsia="es-MX"/>
          <w14:ligatures w14:val="none"/>
        </w:rPr>
        <w:t>Sobre predios definidos legalmente como parques naturales o como parques públicos de propiedad de las entidades estatales, señalada en el artículo 137 de la ley 488 de 1998.</w:t>
      </w:r>
    </w:p>
    <w:p w14:paraId="5044177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F44663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lastRenderedPageBreak/>
        <w:t>Frente a los bienes administrados por el FRISCO, este Despacho se pronunció recientemente mediante Oficio No. 041987-25, que remitimos para su conocimiento y análisis.</w:t>
      </w:r>
    </w:p>
    <w:p w14:paraId="5E11A10C"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55C2020"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Sobre la sujeción pasiva de los predios de propiedad de entidades públicas, remitimos copia del Boletín Apoyo a la Gestión Tributaria de las Entidades Territoriales No. 38 en el que se analiza ampliamente este tema.</w:t>
      </w:r>
    </w:p>
    <w:p w14:paraId="1A495281"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09EEE167"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En relación con los predios de propiedad de entidades sin ánimo de lucro le manifestamos que no conocemos ninguna disposición que los exonere del pago del impuesto predial unificado.</w:t>
      </w:r>
    </w:p>
    <w:p w14:paraId="2C49EB49" w14:textId="77777777" w:rsidR="009C5193" w:rsidRPr="009C5193" w:rsidRDefault="009C5193" w:rsidP="009C5193">
      <w:pPr>
        <w:rPr>
          <w:rFonts w:ascii="Times New Roman" w:eastAsia="Times New Roman" w:hAnsi="Times New Roman" w:cs="Times New Roman"/>
          <w:kern w:val="0"/>
          <w:lang w:val="es-CO" w:eastAsia="es-MX"/>
          <w14:ligatures w14:val="none"/>
        </w:rPr>
      </w:pPr>
      <w:r w:rsidRPr="009C5193">
        <w:rPr>
          <w:rFonts w:ascii="Times New Roman" w:eastAsia="Times New Roman" w:hAnsi="Times New Roman" w:cs="Times New Roman"/>
          <w:kern w:val="0"/>
          <w:lang w:val="es-CO" w:eastAsia="es-MX"/>
          <w14:ligatures w14:val="none"/>
        </w:rPr>
        <w:br/>
      </w:r>
    </w:p>
    <w:p w14:paraId="2AD41235" w14:textId="77777777" w:rsidR="009C5193" w:rsidRPr="009C5193" w:rsidRDefault="009C5193" w:rsidP="009C5193">
      <w:pPr>
        <w:numPr>
          <w:ilvl w:val="0"/>
          <w:numId w:val="29"/>
        </w:numPr>
        <w:jc w:val="both"/>
        <w:textAlignment w:val="baseline"/>
        <w:rPr>
          <w:rFonts w:ascii="Verdana" w:eastAsia="Times New Roman" w:hAnsi="Verdana" w:cs="Times New Roman"/>
          <w:b/>
          <w:bCs/>
          <w:i/>
          <w:iCs/>
          <w:color w:val="000000"/>
          <w:kern w:val="0"/>
          <w:lang w:val="es-CO" w:eastAsia="es-MX"/>
          <w14:ligatures w14:val="none"/>
        </w:rPr>
      </w:pPr>
      <w:r w:rsidRPr="009C5193">
        <w:rPr>
          <w:rFonts w:ascii="Verdana" w:eastAsia="Times New Roman" w:hAnsi="Verdana" w:cs="Times New Roman"/>
          <w:b/>
          <w:bCs/>
          <w:i/>
          <w:iCs/>
          <w:color w:val="000000"/>
          <w:kern w:val="0"/>
          <w:lang w:val="es-CO" w:eastAsia="es-MX"/>
          <w14:ligatures w14:val="none"/>
        </w:rPr>
        <w:t>¿Solicito que se me indique si existe implicaciones de carácter fiscal y disciplinario cuando la administración expida actos administrativos de manera oficiosa, por medio de los cuales se declare la prescripción de un impuesto de una cartera de improbable recaudo, en aras de darle cumplimiento al Marco Normativo de Regulación Contable Pública?</w:t>
      </w:r>
    </w:p>
    <w:p w14:paraId="24CB480F"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259821E5"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Frente a esta inquietud le informamos que este Despacho no es competente para pronunciarse en relación con temas de responsabilidad fiscal o disciplinario. No obstante lo anterior, en relación con este tema el Procurador General de la Nación y el Contador General de la Nación, mediante Circular Conjunta 002 del 8 de marzo de 2017 señalaron:</w:t>
      </w:r>
    </w:p>
    <w:p w14:paraId="58591BBE"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D8A21C9"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“Es importante señalar que los servidores públicos responsables del proceso de saneamiento contable en las entidades territoriales, que no den cumplimiento a lo establecido en la Ley 1819 de 2016 y a los términos de lo previsto en los numerales</w:t>
      </w:r>
    </w:p>
    <w:p w14:paraId="673F0D1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78E5E293"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i/>
          <w:iCs/>
          <w:color w:val="000000"/>
          <w:kern w:val="0"/>
          <w:lang w:val="es-CO" w:eastAsia="es-MX"/>
          <w14:ligatures w14:val="none"/>
        </w:rPr>
        <w:t>3.1. “Depuración Contable permanente y sostenibilidad”, de la Resolución 357 de 2008, y 3.2.15 “Depuración Contable Permanente y sostenible”, de la Resolución 193 de 2016, expedida por la Contaduría General de la Nación – CNG, conllevará a las sanciones que el Código Disciplinario Único califica como falta gravísima al tenor de lo dispuesto en el numeral 52, del artículo 48 de la Ley 734 de 2002”</w:t>
      </w:r>
    </w:p>
    <w:p w14:paraId="26321C96"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B7F71A5"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 xml:space="preserve">Finalmente le informamos que en caso de requerir información adicional puede consultar las respuestas emitidas por este Despacho, las cuales son de público conocimiento y se encuentran a disposición del público en la página web de este Ministerio </w:t>
      </w:r>
      <w:hyperlink r:id="rId7" w:history="1">
        <w:r w:rsidRPr="009C5193">
          <w:rPr>
            <w:rFonts w:ascii="Verdana" w:eastAsia="Times New Roman" w:hAnsi="Verdana" w:cs="Times New Roman"/>
            <w:color w:val="0000FF"/>
            <w:kern w:val="0"/>
            <w:u w:val="single"/>
            <w:lang w:val="es-CO" w:eastAsia="es-MX"/>
            <w14:ligatures w14:val="none"/>
          </w:rPr>
          <w:t>www.minhacienda.gov.co</w:t>
        </w:r>
      </w:hyperlink>
      <w:r w:rsidRPr="009C5193">
        <w:rPr>
          <w:rFonts w:ascii="Verdana" w:eastAsia="Times New Roman" w:hAnsi="Verdana" w:cs="Times New Roman"/>
          <w:color w:val="000000"/>
          <w:kern w:val="0"/>
          <w:lang w:val="es-CO" w:eastAsia="es-MX"/>
          <w14:ligatures w14:val="none"/>
        </w:rPr>
        <w:t xml:space="preserve">, siguiendo la ruta Procesos Misionales / Apoyo Fiscal Territorial / </w:t>
      </w:r>
      <w:hyperlink r:id="rId8" w:history="1">
        <w:r w:rsidRPr="009C5193">
          <w:rPr>
            <w:rFonts w:ascii="Verdana" w:eastAsia="Times New Roman" w:hAnsi="Verdana" w:cs="Times New Roman"/>
            <w:color w:val="0000FF"/>
            <w:kern w:val="0"/>
            <w:u w:val="single"/>
            <w:lang w:val="es-CO" w:eastAsia="es-MX"/>
            <w14:ligatures w14:val="none"/>
          </w:rPr>
          <w:t>Conceptos en materia tributaria</w:t>
        </w:r>
      </w:hyperlink>
      <w:r w:rsidRPr="009C5193">
        <w:rPr>
          <w:rFonts w:ascii="Verdana" w:eastAsia="Times New Roman" w:hAnsi="Verdana" w:cs="Times New Roman"/>
          <w:color w:val="000000"/>
          <w:kern w:val="0"/>
          <w:lang w:val="es-CO" w:eastAsia="es-MX"/>
          <w14:ligatures w14:val="none"/>
        </w:rPr>
        <w:t>.</w:t>
      </w:r>
    </w:p>
    <w:p w14:paraId="1337A7E7"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5930FE0A"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Cordialmente</w:t>
      </w:r>
    </w:p>
    <w:p w14:paraId="478EBD85"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4A0962C5" w14:textId="77777777" w:rsidR="009C5193" w:rsidRPr="009C5193" w:rsidRDefault="009C5193" w:rsidP="009C5193">
      <w:pPr>
        <w:jc w:val="both"/>
        <w:outlineLvl w:val="0"/>
        <w:rPr>
          <w:rFonts w:ascii="Times New Roman" w:eastAsia="Times New Roman" w:hAnsi="Times New Roman" w:cs="Times New Roman"/>
          <w:b/>
          <w:bCs/>
          <w:kern w:val="36"/>
          <w:sz w:val="48"/>
          <w:szCs w:val="48"/>
          <w:lang w:val="es-CO" w:eastAsia="es-MX"/>
          <w14:ligatures w14:val="none"/>
        </w:rPr>
      </w:pPr>
      <w:r w:rsidRPr="009C5193">
        <w:rPr>
          <w:rFonts w:ascii="Verdana" w:eastAsia="Times New Roman" w:hAnsi="Verdana" w:cs="Times New Roman"/>
          <w:b/>
          <w:bCs/>
          <w:color w:val="000000"/>
          <w:kern w:val="36"/>
          <w:lang w:val="es-CO" w:eastAsia="es-MX"/>
          <w14:ligatures w14:val="none"/>
        </w:rPr>
        <w:t>CLAUDIA HELENA OTÁLORA CRISTANCHO</w:t>
      </w:r>
    </w:p>
    <w:p w14:paraId="651EF608"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Subdirectora de Fortalecimiento Institucional Territorial</w:t>
      </w:r>
    </w:p>
    <w:p w14:paraId="6FD18245" w14:textId="77777777" w:rsidR="009C5193" w:rsidRPr="009C5193" w:rsidRDefault="009C5193" w:rsidP="009C5193">
      <w:pPr>
        <w:jc w:val="both"/>
        <w:rPr>
          <w:rFonts w:ascii="Times New Roman" w:eastAsia="Times New Roman" w:hAnsi="Times New Roman" w:cs="Times New Roman"/>
          <w:kern w:val="0"/>
          <w:lang w:val="es-CO" w:eastAsia="es-MX"/>
          <w14:ligatures w14:val="none"/>
        </w:rPr>
      </w:pPr>
      <w:r w:rsidRPr="009C5193">
        <w:rPr>
          <w:rFonts w:ascii="Verdana" w:eastAsia="Times New Roman" w:hAnsi="Verdana" w:cs="Times New Roman"/>
          <w:color w:val="000000"/>
          <w:kern w:val="0"/>
          <w:lang w:val="es-CO" w:eastAsia="es-MX"/>
          <w14:ligatures w14:val="none"/>
        </w:rPr>
        <w:t>Dirección General de Apoyo Fiscal</w:t>
      </w:r>
    </w:p>
    <w:p w14:paraId="537F8A73" w14:textId="77777777" w:rsidR="009C5193" w:rsidRPr="009C5193" w:rsidRDefault="009C5193" w:rsidP="009C5193">
      <w:pPr>
        <w:rPr>
          <w:rFonts w:ascii="Times New Roman" w:eastAsia="Times New Roman" w:hAnsi="Times New Roman" w:cs="Times New Roman"/>
          <w:kern w:val="0"/>
          <w:lang w:val="es-CO" w:eastAsia="es-MX"/>
          <w14:ligatures w14:val="none"/>
        </w:rPr>
      </w:pPr>
    </w:p>
    <w:p w14:paraId="6BB70CC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A0236"/>
    <w:multiLevelType w:val="multilevel"/>
    <w:tmpl w:val="23946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222BFF"/>
    <w:multiLevelType w:val="hybridMultilevel"/>
    <w:tmpl w:val="17CE8A68"/>
    <w:lvl w:ilvl="0" w:tplc="44CCDAFC">
      <w:start w:val="3"/>
      <w:numFmt w:val="lowerLetter"/>
      <w:lvlText w:val="%1."/>
      <w:lvlJc w:val="left"/>
      <w:pPr>
        <w:tabs>
          <w:tab w:val="num" w:pos="720"/>
        </w:tabs>
        <w:ind w:left="720" w:hanging="360"/>
      </w:pPr>
    </w:lvl>
    <w:lvl w:ilvl="1" w:tplc="AAD63FBC" w:tentative="1">
      <w:start w:val="1"/>
      <w:numFmt w:val="decimal"/>
      <w:lvlText w:val="%2."/>
      <w:lvlJc w:val="left"/>
      <w:pPr>
        <w:tabs>
          <w:tab w:val="num" w:pos="1440"/>
        </w:tabs>
        <w:ind w:left="1440" w:hanging="360"/>
      </w:pPr>
    </w:lvl>
    <w:lvl w:ilvl="2" w:tplc="847041BA" w:tentative="1">
      <w:start w:val="1"/>
      <w:numFmt w:val="decimal"/>
      <w:lvlText w:val="%3."/>
      <w:lvlJc w:val="left"/>
      <w:pPr>
        <w:tabs>
          <w:tab w:val="num" w:pos="2160"/>
        </w:tabs>
        <w:ind w:left="2160" w:hanging="360"/>
      </w:pPr>
    </w:lvl>
    <w:lvl w:ilvl="3" w:tplc="0B5897CE" w:tentative="1">
      <w:start w:val="1"/>
      <w:numFmt w:val="decimal"/>
      <w:lvlText w:val="%4."/>
      <w:lvlJc w:val="left"/>
      <w:pPr>
        <w:tabs>
          <w:tab w:val="num" w:pos="2880"/>
        </w:tabs>
        <w:ind w:left="2880" w:hanging="360"/>
      </w:pPr>
    </w:lvl>
    <w:lvl w:ilvl="4" w:tplc="66D2E87E" w:tentative="1">
      <w:start w:val="1"/>
      <w:numFmt w:val="decimal"/>
      <w:lvlText w:val="%5."/>
      <w:lvlJc w:val="left"/>
      <w:pPr>
        <w:tabs>
          <w:tab w:val="num" w:pos="3600"/>
        </w:tabs>
        <w:ind w:left="3600" w:hanging="360"/>
      </w:pPr>
    </w:lvl>
    <w:lvl w:ilvl="5" w:tplc="AE801562" w:tentative="1">
      <w:start w:val="1"/>
      <w:numFmt w:val="decimal"/>
      <w:lvlText w:val="%6."/>
      <w:lvlJc w:val="left"/>
      <w:pPr>
        <w:tabs>
          <w:tab w:val="num" w:pos="4320"/>
        </w:tabs>
        <w:ind w:left="4320" w:hanging="360"/>
      </w:pPr>
    </w:lvl>
    <w:lvl w:ilvl="6" w:tplc="D7EE8520" w:tentative="1">
      <w:start w:val="1"/>
      <w:numFmt w:val="decimal"/>
      <w:lvlText w:val="%7."/>
      <w:lvlJc w:val="left"/>
      <w:pPr>
        <w:tabs>
          <w:tab w:val="num" w:pos="5040"/>
        </w:tabs>
        <w:ind w:left="5040" w:hanging="360"/>
      </w:pPr>
    </w:lvl>
    <w:lvl w:ilvl="7" w:tplc="89F60248" w:tentative="1">
      <w:start w:val="1"/>
      <w:numFmt w:val="decimal"/>
      <w:lvlText w:val="%8."/>
      <w:lvlJc w:val="left"/>
      <w:pPr>
        <w:tabs>
          <w:tab w:val="num" w:pos="5760"/>
        </w:tabs>
        <w:ind w:left="5760" w:hanging="360"/>
      </w:pPr>
    </w:lvl>
    <w:lvl w:ilvl="8" w:tplc="FE2C6ED8" w:tentative="1">
      <w:start w:val="1"/>
      <w:numFmt w:val="decimal"/>
      <w:lvlText w:val="%9."/>
      <w:lvlJc w:val="left"/>
      <w:pPr>
        <w:tabs>
          <w:tab w:val="num" w:pos="6480"/>
        </w:tabs>
        <w:ind w:left="6480" w:hanging="360"/>
      </w:pPr>
    </w:lvl>
  </w:abstractNum>
  <w:abstractNum w:abstractNumId="2" w15:restartNumberingAfterBreak="0">
    <w:nsid w:val="1085729C"/>
    <w:multiLevelType w:val="multilevel"/>
    <w:tmpl w:val="38E64A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4A4FA1"/>
    <w:multiLevelType w:val="multilevel"/>
    <w:tmpl w:val="1C4C0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B21B62"/>
    <w:multiLevelType w:val="multilevel"/>
    <w:tmpl w:val="61D6D8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331614"/>
    <w:multiLevelType w:val="multilevel"/>
    <w:tmpl w:val="4EB843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1F3981"/>
    <w:multiLevelType w:val="multilevel"/>
    <w:tmpl w:val="818434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A9413C"/>
    <w:multiLevelType w:val="hybridMultilevel"/>
    <w:tmpl w:val="9F34226E"/>
    <w:lvl w:ilvl="0" w:tplc="4F4814A2">
      <w:start w:val="2"/>
      <w:numFmt w:val="lowerLetter"/>
      <w:lvlText w:val="%1."/>
      <w:lvlJc w:val="left"/>
      <w:pPr>
        <w:tabs>
          <w:tab w:val="num" w:pos="720"/>
        </w:tabs>
        <w:ind w:left="720" w:hanging="360"/>
      </w:pPr>
    </w:lvl>
    <w:lvl w:ilvl="1" w:tplc="EDB858DE" w:tentative="1">
      <w:start w:val="1"/>
      <w:numFmt w:val="decimal"/>
      <w:lvlText w:val="%2."/>
      <w:lvlJc w:val="left"/>
      <w:pPr>
        <w:tabs>
          <w:tab w:val="num" w:pos="1440"/>
        </w:tabs>
        <w:ind w:left="1440" w:hanging="360"/>
      </w:pPr>
    </w:lvl>
    <w:lvl w:ilvl="2" w:tplc="8E5280B0" w:tentative="1">
      <w:start w:val="1"/>
      <w:numFmt w:val="decimal"/>
      <w:lvlText w:val="%3."/>
      <w:lvlJc w:val="left"/>
      <w:pPr>
        <w:tabs>
          <w:tab w:val="num" w:pos="2160"/>
        </w:tabs>
        <w:ind w:left="2160" w:hanging="360"/>
      </w:pPr>
    </w:lvl>
    <w:lvl w:ilvl="3" w:tplc="7004C15A" w:tentative="1">
      <w:start w:val="1"/>
      <w:numFmt w:val="decimal"/>
      <w:lvlText w:val="%4."/>
      <w:lvlJc w:val="left"/>
      <w:pPr>
        <w:tabs>
          <w:tab w:val="num" w:pos="2880"/>
        </w:tabs>
        <w:ind w:left="2880" w:hanging="360"/>
      </w:pPr>
    </w:lvl>
    <w:lvl w:ilvl="4" w:tplc="4A202908" w:tentative="1">
      <w:start w:val="1"/>
      <w:numFmt w:val="decimal"/>
      <w:lvlText w:val="%5."/>
      <w:lvlJc w:val="left"/>
      <w:pPr>
        <w:tabs>
          <w:tab w:val="num" w:pos="3600"/>
        </w:tabs>
        <w:ind w:left="3600" w:hanging="360"/>
      </w:pPr>
    </w:lvl>
    <w:lvl w:ilvl="5" w:tplc="9484030E" w:tentative="1">
      <w:start w:val="1"/>
      <w:numFmt w:val="decimal"/>
      <w:lvlText w:val="%6."/>
      <w:lvlJc w:val="left"/>
      <w:pPr>
        <w:tabs>
          <w:tab w:val="num" w:pos="4320"/>
        </w:tabs>
        <w:ind w:left="4320" w:hanging="360"/>
      </w:pPr>
    </w:lvl>
    <w:lvl w:ilvl="6" w:tplc="7CA8A4EE" w:tentative="1">
      <w:start w:val="1"/>
      <w:numFmt w:val="decimal"/>
      <w:lvlText w:val="%7."/>
      <w:lvlJc w:val="left"/>
      <w:pPr>
        <w:tabs>
          <w:tab w:val="num" w:pos="5040"/>
        </w:tabs>
        <w:ind w:left="5040" w:hanging="360"/>
      </w:pPr>
    </w:lvl>
    <w:lvl w:ilvl="7" w:tplc="E3085A46" w:tentative="1">
      <w:start w:val="1"/>
      <w:numFmt w:val="decimal"/>
      <w:lvlText w:val="%8."/>
      <w:lvlJc w:val="left"/>
      <w:pPr>
        <w:tabs>
          <w:tab w:val="num" w:pos="5760"/>
        </w:tabs>
        <w:ind w:left="5760" w:hanging="360"/>
      </w:pPr>
    </w:lvl>
    <w:lvl w:ilvl="8" w:tplc="AB9E4C22" w:tentative="1">
      <w:start w:val="1"/>
      <w:numFmt w:val="decimal"/>
      <w:lvlText w:val="%9."/>
      <w:lvlJc w:val="left"/>
      <w:pPr>
        <w:tabs>
          <w:tab w:val="num" w:pos="6480"/>
        </w:tabs>
        <w:ind w:left="6480" w:hanging="360"/>
      </w:pPr>
    </w:lvl>
  </w:abstractNum>
  <w:abstractNum w:abstractNumId="8" w15:restartNumberingAfterBreak="0">
    <w:nsid w:val="20F332EC"/>
    <w:multiLevelType w:val="multilevel"/>
    <w:tmpl w:val="8A623F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1849DD"/>
    <w:multiLevelType w:val="multilevel"/>
    <w:tmpl w:val="DBE8D1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48078F"/>
    <w:multiLevelType w:val="multilevel"/>
    <w:tmpl w:val="3574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457F2F"/>
    <w:multiLevelType w:val="multilevel"/>
    <w:tmpl w:val="F0E07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0D194C"/>
    <w:multiLevelType w:val="multilevel"/>
    <w:tmpl w:val="44B07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574BA9"/>
    <w:multiLevelType w:val="multilevel"/>
    <w:tmpl w:val="D4567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F1A7CC2"/>
    <w:multiLevelType w:val="multilevel"/>
    <w:tmpl w:val="C5C242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6B7263"/>
    <w:multiLevelType w:val="multilevel"/>
    <w:tmpl w:val="3C7602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8A7846"/>
    <w:multiLevelType w:val="multilevel"/>
    <w:tmpl w:val="E012BD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592106"/>
    <w:multiLevelType w:val="multilevel"/>
    <w:tmpl w:val="553A2D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AC7D24"/>
    <w:multiLevelType w:val="multilevel"/>
    <w:tmpl w:val="29700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E46931"/>
    <w:multiLevelType w:val="multilevel"/>
    <w:tmpl w:val="865885A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283A11"/>
    <w:multiLevelType w:val="hybridMultilevel"/>
    <w:tmpl w:val="A8185132"/>
    <w:lvl w:ilvl="0" w:tplc="71E6F8A8">
      <w:start w:val="4"/>
      <w:numFmt w:val="lowerLetter"/>
      <w:lvlText w:val="%1."/>
      <w:lvlJc w:val="left"/>
      <w:pPr>
        <w:tabs>
          <w:tab w:val="num" w:pos="720"/>
        </w:tabs>
        <w:ind w:left="720" w:hanging="360"/>
      </w:pPr>
    </w:lvl>
    <w:lvl w:ilvl="1" w:tplc="08B44B9A" w:tentative="1">
      <w:start w:val="1"/>
      <w:numFmt w:val="decimal"/>
      <w:lvlText w:val="%2."/>
      <w:lvlJc w:val="left"/>
      <w:pPr>
        <w:tabs>
          <w:tab w:val="num" w:pos="1440"/>
        </w:tabs>
        <w:ind w:left="1440" w:hanging="360"/>
      </w:pPr>
    </w:lvl>
    <w:lvl w:ilvl="2" w:tplc="D9F047AA" w:tentative="1">
      <w:start w:val="1"/>
      <w:numFmt w:val="decimal"/>
      <w:lvlText w:val="%3."/>
      <w:lvlJc w:val="left"/>
      <w:pPr>
        <w:tabs>
          <w:tab w:val="num" w:pos="2160"/>
        </w:tabs>
        <w:ind w:left="2160" w:hanging="360"/>
      </w:pPr>
    </w:lvl>
    <w:lvl w:ilvl="3" w:tplc="D894222C" w:tentative="1">
      <w:start w:val="1"/>
      <w:numFmt w:val="decimal"/>
      <w:lvlText w:val="%4."/>
      <w:lvlJc w:val="left"/>
      <w:pPr>
        <w:tabs>
          <w:tab w:val="num" w:pos="2880"/>
        </w:tabs>
        <w:ind w:left="2880" w:hanging="360"/>
      </w:pPr>
    </w:lvl>
    <w:lvl w:ilvl="4" w:tplc="60F864BC" w:tentative="1">
      <w:start w:val="1"/>
      <w:numFmt w:val="decimal"/>
      <w:lvlText w:val="%5."/>
      <w:lvlJc w:val="left"/>
      <w:pPr>
        <w:tabs>
          <w:tab w:val="num" w:pos="3600"/>
        </w:tabs>
        <w:ind w:left="3600" w:hanging="360"/>
      </w:pPr>
    </w:lvl>
    <w:lvl w:ilvl="5" w:tplc="1B947E2C" w:tentative="1">
      <w:start w:val="1"/>
      <w:numFmt w:val="decimal"/>
      <w:lvlText w:val="%6."/>
      <w:lvlJc w:val="left"/>
      <w:pPr>
        <w:tabs>
          <w:tab w:val="num" w:pos="4320"/>
        </w:tabs>
        <w:ind w:left="4320" w:hanging="360"/>
      </w:pPr>
    </w:lvl>
    <w:lvl w:ilvl="6" w:tplc="D1B81480" w:tentative="1">
      <w:start w:val="1"/>
      <w:numFmt w:val="decimal"/>
      <w:lvlText w:val="%7."/>
      <w:lvlJc w:val="left"/>
      <w:pPr>
        <w:tabs>
          <w:tab w:val="num" w:pos="5040"/>
        </w:tabs>
        <w:ind w:left="5040" w:hanging="360"/>
      </w:pPr>
    </w:lvl>
    <w:lvl w:ilvl="7" w:tplc="B0F0833C" w:tentative="1">
      <w:start w:val="1"/>
      <w:numFmt w:val="decimal"/>
      <w:lvlText w:val="%8."/>
      <w:lvlJc w:val="left"/>
      <w:pPr>
        <w:tabs>
          <w:tab w:val="num" w:pos="5760"/>
        </w:tabs>
        <w:ind w:left="5760" w:hanging="360"/>
      </w:pPr>
    </w:lvl>
    <w:lvl w:ilvl="8" w:tplc="38CA206C" w:tentative="1">
      <w:start w:val="1"/>
      <w:numFmt w:val="decimal"/>
      <w:lvlText w:val="%9."/>
      <w:lvlJc w:val="left"/>
      <w:pPr>
        <w:tabs>
          <w:tab w:val="num" w:pos="6480"/>
        </w:tabs>
        <w:ind w:left="6480" w:hanging="360"/>
      </w:pPr>
    </w:lvl>
  </w:abstractNum>
  <w:abstractNum w:abstractNumId="21" w15:restartNumberingAfterBreak="0">
    <w:nsid w:val="60852428"/>
    <w:multiLevelType w:val="multilevel"/>
    <w:tmpl w:val="A48E6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3D5642"/>
    <w:multiLevelType w:val="multilevel"/>
    <w:tmpl w:val="D122B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8572FDD"/>
    <w:multiLevelType w:val="multilevel"/>
    <w:tmpl w:val="C96E2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904DBB"/>
    <w:multiLevelType w:val="multilevel"/>
    <w:tmpl w:val="9EF6C7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8F0B0B"/>
    <w:multiLevelType w:val="multilevel"/>
    <w:tmpl w:val="B2108E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50C134E"/>
    <w:multiLevelType w:val="multilevel"/>
    <w:tmpl w:val="95649F5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58966D3"/>
    <w:multiLevelType w:val="multilevel"/>
    <w:tmpl w:val="F1E44F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177FA3"/>
    <w:multiLevelType w:val="hybridMultilevel"/>
    <w:tmpl w:val="CFE2D02C"/>
    <w:lvl w:ilvl="0" w:tplc="A2E0D486">
      <w:start w:val="5"/>
      <w:numFmt w:val="lowerLetter"/>
      <w:lvlText w:val="%1."/>
      <w:lvlJc w:val="left"/>
      <w:pPr>
        <w:tabs>
          <w:tab w:val="num" w:pos="720"/>
        </w:tabs>
        <w:ind w:left="720" w:hanging="360"/>
      </w:pPr>
    </w:lvl>
    <w:lvl w:ilvl="1" w:tplc="BE1237FA" w:tentative="1">
      <w:start w:val="1"/>
      <w:numFmt w:val="decimal"/>
      <w:lvlText w:val="%2."/>
      <w:lvlJc w:val="left"/>
      <w:pPr>
        <w:tabs>
          <w:tab w:val="num" w:pos="1440"/>
        </w:tabs>
        <w:ind w:left="1440" w:hanging="360"/>
      </w:pPr>
    </w:lvl>
    <w:lvl w:ilvl="2" w:tplc="BDC4ADCC" w:tentative="1">
      <w:start w:val="1"/>
      <w:numFmt w:val="decimal"/>
      <w:lvlText w:val="%3."/>
      <w:lvlJc w:val="left"/>
      <w:pPr>
        <w:tabs>
          <w:tab w:val="num" w:pos="2160"/>
        </w:tabs>
        <w:ind w:left="2160" w:hanging="360"/>
      </w:pPr>
    </w:lvl>
    <w:lvl w:ilvl="3" w:tplc="F55A03A6" w:tentative="1">
      <w:start w:val="1"/>
      <w:numFmt w:val="decimal"/>
      <w:lvlText w:val="%4."/>
      <w:lvlJc w:val="left"/>
      <w:pPr>
        <w:tabs>
          <w:tab w:val="num" w:pos="2880"/>
        </w:tabs>
        <w:ind w:left="2880" w:hanging="360"/>
      </w:pPr>
    </w:lvl>
    <w:lvl w:ilvl="4" w:tplc="519C5C0A" w:tentative="1">
      <w:start w:val="1"/>
      <w:numFmt w:val="decimal"/>
      <w:lvlText w:val="%5."/>
      <w:lvlJc w:val="left"/>
      <w:pPr>
        <w:tabs>
          <w:tab w:val="num" w:pos="3600"/>
        </w:tabs>
        <w:ind w:left="3600" w:hanging="360"/>
      </w:pPr>
    </w:lvl>
    <w:lvl w:ilvl="5" w:tplc="50E86816" w:tentative="1">
      <w:start w:val="1"/>
      <w:numFmt w:val="decimal"/>
      <w:lvlText w:val="%6."/>
      <w:lvlJc w:val="left"/>
      <w:pPr>
        <w:tabs>
          <w:tab w:val="num" w:pos="4320"/>
        </w:tabs>
        <w:ind w:left="4320" w:hanging="360"/>
      </w:pPr>
    </w:lvl>
    <w:lvl w:ilvl="6" w:tplc="75D60586" w:tentative="1">
      <w:start w:val="1"/>
      <w:numFmt w:val="decimal"/>
      <w:lvlText w:val="%7."/>
      <w:lvlJc w:val="left"/>
      <w:pPr>
        <w:tabs>
          <w:tab w:val="num" w:pos="5040"/>
        </w:tabs>
        <w:ind w:left="5040" w:hanging="360"/>
      </w:pPr>
    </w:lvl>
    <w:lvl w:ilvl="7" w:tplc="573C194C" w:tentative="1">
      <w:start w:val="1"/>
      <w:numFmt w:val="decimal"/>
      <w:lvlText w:val="%8."/>
      <w:lvlJc w:val="left"/>
      <w:pPr>
        <w:tabs>
          <w:tab w:val="num" w:pos="5760"/>
        </w:tabs>
        <w:ind w:left="5760" w:hanging="360"/>
      </w:pPr>
    </w:lvl>
    <w:lvl w:ilvl="8" w:tplc="C11CC932" w:tentative="1">
      <w:start w:val="1"/>
      <w:numFmt w:val="decimal"/>
      <w:lvlText w:val="%9."/>
      <w:lvlJc w:val="left"/>
      <w:pPr>
        <w:tabs>
          <w:tab w:val="num" w:pos="6480"/>
        </w:tabs>
        <w:ind w:left="6480" w:hanging="360"/>
      </w:pPr>
    </w:lvl>
  </w:abstractNum>
  <w:num w:numId="1" w16cid:durableId="453721565">
    <w:abstractNumId w:val="13"/>
  </w:num>
  <w:num w:numId="2" w16cid:durableId="1024096414">
    <w:abstractNumId w:val="3"/>
    <w:lvlOverride w:ilvl="0">
      <w:lvl w:ilvl="0">
        <w:numFmt w:val="lowerLetter"/>
        <w:lvlText w:val="%1."/>
        <w:lvlJc w:val="left"/>
      </w:lvl>
    </w:lvlOverride>
  </w:num>
  <w:num w:numId="3" w16cid:durableId="13922741">
    <w:abstractNumId w:val="7"/>
  </w:num>
  <w:num w:numId="4" w16cid:durableId="1962875903">
    <w:abstractNumId w:val="1"/>
  </w:num>
  <w:num w:numId="5" w16cid:durableId="387143503">
    <w:abstractNumId w:val="20"/>
  </w:num>
  <w:num w:numId="6" w16cid:durableId="2111314372">
    <w:abstractNumId w:val="28"/>
  </w:num>
  <w:num w:numId="7" w16cid:durableId="2011055474">
    <w:abstractNumId w:val="11"/>
    <w:lvlOverride w:ilvl="0">
      <w:lvl w:ilvl="0">
        <w:numFmt w:val="decimal"/>
        <w:lvlText w:val="%1."/>
        <w:lvlJc w:val="left"/>
      </w:lvl>
    </w:lvlOverride>
  </w:num>
  <w:num w:numId="8" w16cid:durableId="624507477">
    <w:abstractNumId w:val="22"/>
  </w:num>
  <w:num w:numId="9" w16cid:durableId="1687705455">
    <w:abstractNumId w:val="6"/>
    <w:lvlOverride w:ilvl="0">
      <w:lvl w:ilvl="0">
        <w:numFmt w:val="decimal"/>
        <w:lvlText w:val="%1."/>
        <w:lvlJc w:val="left"/>
      </w:lvl>
    </w:lvlOverride>
  </w:num>
  <w:num w:numId="10" w16cid:durableId="1310552247">
    <w:abstractNumId w:val="17"/>
    <w:lvlOverride w:ilvl="0">
      <w:lvl w:ilvl="0">
        <w:numFmt w:val="decimal"/>
        <w:lvlText w:val="%1."/>
        <w:lvlJc w:val="left"/>
      </w:lvl>
    </w:lvlOverride>
  </w:num>
  <w:num w:numId="11" w16cid:durableId="1226258553">
    <w:abstractNumId w:val="4"/>
    <w:lvlOverride w:ilvl="0">
      <w:lvl w:ilvl="0">
        <w:numFmt w:val="decimal"/>
        <w:lvlText w:val="%1."/>
        <w:lvlJc w:val="left"/>
      </w:lvl>
    </w:lvlOverride>
  </w:num>
  <w:num w:numId="12" w16cid:durableId="1608081857">
    <w:abstractNumId w:val="24"/>
    <w:lvlOverride w:ilvl="0">
      <w:lvl w:ilvl="0">
        <w:numFmt w:val="decimal"/>
        <w:lvlText w:val="%1."/>
        <w:lvlJc w:val="left"/>
      </w:lvl>
    </w:lvlOverride>
  </w:num>
  <w:num w:numId="13" w16cid:durableId="1939092217">
    <w:abstractNumId w:val="21"/>
  </w:num>
  <w:num w:numId="14" w16cid:durableId="1197081404">
    <w:abstractNumId w:val="14"/>
    <w:lvlOverride w:ilvl="0">
      <w:lvl w:ilvl="0">
        <w:numFmt w:val="decimal"/>
        <w:lvlText w:val="%1."/>
        <w:lvlJc w:val="left"/>
      </w:lvl>
    </w:lvlOverride>
  </w:num>
  <w:num w:numId="15" w16cid:durableId="987248055">
    <w:abstractNumId w:val="8"/>
    <w:lvlOverride w:ilvl="0">
      <w:lvl w:ilvl="0">
        <w:numFmt w:val="decimal"/>
        <w:lvlText w:val="%1."/>
        <w:lvlJc w:val="left"/>
      </w:lvl>
    </w:lvlOverride>
  </w:num>
  <w:num w:numId="16" w16cid:durableId="1529486262">
    <w:abstractNumId w:val="16"/>
    <w:lvlOverride w:ilvl="0">
      <w:lvl w:ilvl="0">
        <w:numFmt w:val="decimal"/>
        <w:lvlText w:val="%1."/>
        <w:lvlJc w:val="left"/>
      </w:lvl>
    </w:lvlOverride>
  </w:num>
  <w:num w:numId="17" w16cid:durableId="1045058658">
    <w:abstractNumId w:val="5"/>
    <w:lvlOverride w:ilvl="0">
      <w:lvl w:ilvl="0">
        <w:numFmt w:val="decimal"/>
        <w:lvlText w:val="%1."/>
        <w:lvlJc w:val="left"/>
      </w:lvl>
    </w:lvlOverride>
  </w:num>
  <w:num w:numId="18" w16cid:durableId="408842678">
    <w:abstractNumId w:val="15"/>
    <w:lvlOverride w:ilvl="0">
      <w:lvl w:ilvl="0">
        <w:numFmt w:val="decimal"/>
        <w:lvlText w:val="%1."/>
        <w:lvlJc w:val="left"/>
      </w:lvl>
    </w:lvlOverride>
  </w:num>
  <w:num w:numId="19" w16cid:durableId="669213054">
    <w:abstractNumId w:val="0"/>
  </w:num>
  <w:num w:numId="20" w16cid:durableId="335620317">
    <w:abstractNumId w:val="27"/>
    <w:lvlOverride w:ilvl="0">
      <w:lvl w:ilvl="0">
        <w:numFmt w:val="decimal"/>
        <w:lvlText w:val="%1."/>
        <w:lvlJc w:val="left"/>
      </w:lvl>
    </w:lvlOverride>
  </w:num>
  <w:num w:numId="21" w16cid:durableId="705833492">
    <w:abstractNumId w:val="9"/>
    <w:lvlOverride w:ilvl="0">
      <w:lvl w:ilvl="0">
        <w:numFmt w:val="decimal"/>
        <w:lvlText w:val="%1."/>
        <w:lvlJc w:val="left"/>
      </w:lvl>
    </w:lvlOverride>
  </w:num>
  <w:num w:numId="22" w16cid:durableId="1320767210">
    <w:abstractNumId w:val="25"/>
    <w:lvlOverride w:ilvl="0">
      <w:lvl w:ilvl="0">
        <w:numFmt w:val="decimal"/>
        <w:lvlText w:val="%1."/>
        <w:lvlJc w:val="left"/>
      </w:lvl>
    </w:lvlOverride>
  </w:num>
  <w:num w:numId="23" w16cid:durableId="565645987">
    <w:abstractNumId w:val="23"/>
    <w:lvlOverride w:ilvl="0">
      <w:lvl w:ilvl="0">
        <w:numFmt w:val="decimal"/>
        <w:lvlText w:val="%1."/>
        <w:lvlJc w:val="left"/>
      </w:lvl>
    </w:lvlOverride>
  </w:num>
  <w:num w:numId="24" w16cid:durableId="727922443">
    <w:abstractNumId w:val="19"/>
    <w:lvlOverride w:ilvl="0">
      <w:lvl w:ilvl="0">
        <w:numFmt w:val="decimal"/>
        <w:lvlText w:val="%1."/>
        <w:lvlJc w:val="left"/>
      </w:lvl>
    </w:lvlOverride>
  </w:num>
  <w:num w:numId="25" w16cid:durableId="445277585">
    <w:abstractNumId w:val="2"/>
    <w:lvlOverride w:ilvl="0">
      <w:lvl w:ilvl="0">
        <w:numFmt w:val="decimal"/>
        <w:lvlText w:val="%1."/>
        <w:lvlJc w:val="left"/>
      </w:lvl>
    </w:lvlOverride>
  </w:num>
  <w:num w:numId="26" w16cid:durableId="2070230547">
    <w:abstractNumId w:val="18"/>
  </w:num>
  <w:num w:numId="27" w16cid:durableId="514003556">
    <w:abstractNumId w:val="12"/>
  </w:num>
  <w:num w:numId="28" w16cid:durableId="2057848519">
    <w:abstractNumId w:val="10"/>
  </w:num>
  <w:num w:numId="29" w16cid:durableId="1831411211">
    <w:abstractNumId w:val="2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193"/>
    <w:rsid w:val="000B2285"/>
    <w:rsid w:val="00537D8F"/>
    <w:rsid w:val="00956539"/>
    <w:rsid w:val="009C5193"/>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04ACDCC"/>
  <w14:defaultImageDpi w14:val="32767"/>
  <w15:chartTrackingRefBased/>
  <w15:docId w15:val="{946EA755-18F2-5B4F-ADDD-ED290F5BD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C51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C51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C519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C519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C519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C519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C519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C519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C519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C519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C519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C519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C519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C519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C519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C519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C519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C5193"/>
    <w:rPr>
      <w:rFonts w:eastAsiaTheme="majorEastAsia" w:cstheme="majorBidi"/>
      <w:color w:val="272727" w:themeColor="text1" w:themeTint="D8"/>
    </w:rPr>
  </w:style>
  <w:style w:type="paragraph" w:styleId="Ttulo">
    <w:name w:val="Title"/>
    <w:basedOn w:val="Normal"/>
    <w:next w:val="Normal"/>
    <w:link w:val="TtuloCar"/>
    <w:uiPriority w:val="10"/>
    <w:qFormat/>
    <w:rsid w:val="009C519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C51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C519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C519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C519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C5193"/>
    <w:rPr>
      <w:i/>
      <w:iCs/>
      <w:color w:val="404040" w:themeColor="text1" w:themeTint="BF"/>
    </w:rPr>
  </w:style>
  <w:style w:type="paragraph" w:styleId="Prrafodelista">
    <w:name w:val="List Paragraph"/>
    <w:basedOn w:val="Normal"/>
    <w:uiPriority w:val="34"/>
    <w:qFormat/>
    <w:rsid w:val="009C5193"/>
    <w:pPr>
      <w:ind w:left="720"/>
      <w:contextualSpacing/>
    </w:pPr>
  </w:style>
  <w:style w:type="character" w:styleId="nfasisintenso">
    <w:name w:val="Intense Emphasis"/>
    <w:basedOn w:val="Fuentedeprrafopredeter"/>
    <w:uiPriority w:val="21"/>
    <w:qFormat/>
    <w:rsid w:val="009C5193"/>
    <w:rPr>
      <w:i/>
      <w:iCs/>
      <w:color w:val="2F5496" w:themeColor="accent1" w:themeShade="BF"/>
    </w:rPr>
  </w:style>
  <w:style w:type="paragraph" w:styleId="Citadestacada">
    <w:name w:val="Intense Quote"/>
    <w:basedOn w:val="Normal"/>
    <w:next w:val="Normal"/>
    <w:link w:val="CitadestacadaCar"/>
    <w:uiPriority w:val="30"/>
    <w:qFormat/>
    <w:rsid w:val="009C51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C5193"/>
    <w:rPr>
      <w:i/>
      <w:iCs/>
      <w:color w:val="2F5496" w:themeColor="accent1" w:themeShade="BF"/>
    </w:rPr>
  </w:style>
  <w:style w:type="character" w:styleId="Referenciaintensa">
    <w:name w:val="Intense Reference"/>
    <w:basedOn w:val="Fuentedeprrafopredeter"/>
    <w:uiPriority w:val="32"/>
    <w:qFormat/>
    <w:rsid w:val="009C5193"/>
    <w:rPr>
      <w:b/>
      <w:bCs/>
      <w:smallCaps/>
      <w:color w:val="2F5496" w:themeColor="accent1" w:themeShade="BF"/>
      <w:spacing w:val="5"/>
    </w:rPr>
  </w:style>
  <w:style w:type="paragraph" w:styleId="NormalWeb">
    <w:name w:val="Normal (Web)"/>
    <w:basedOn w:val="Normal"/>
    <w:uiPriority w:val="99"/>
    <w:semiHidden/>
    <w:unhideWhenUsed/>
    <w:rsid w:val="009C5193"/>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9C5193"/>
    <w:rPr>
      <w:color w:val="0000FF"/>
      <w:u w:val="single"/>
    </w:rPr>
  </w:style>
  <w:style w:type="character" w:customStyle="1" w:styleId="apple-tab-span">
    <w:name w:val="apple-tab-span"/>
    <w:basedOn w:val="Fuentedeprrafopredeter"/>
    <w:rsid w:val="009C5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hacienda.gov.co/apoyo-fiscal-territorial/asesorias-y-conceptos-en-materia-tributaria" TargetMode="External"/><Relationship Id="rId3" Type="http://schemas.openxmlformats.org/officeDocument/2006/relationships/settings" Target="settings.xml"/><Relationship Id="rId7" Type="http://schemas.openxmlformats.org/officeDocument/2006/relationships/hyperlink" Target="http://www.minhacienda.gov.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ciendamontenegropqr@gmail.com" TargetMode="External"/><Relationship Id="rId5" Type="http://schemas.openxmlformats.org/officeDocument/2006/relationships/hyperlink" Target="mailto:hacienda@montenegro-quindio.gov.c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5353</Words>
  <Characters>27893</Characters>
  <Application>Microsoft Office Word</Application>
  <DocSecurity>0</DocSecurity>
  <Lines>648</Lines>
  <Paragraphs>163</Paragraphs>
  <ScaleCrop>false</ScaleCrop>
  <Company/>
  <LinksUpToDate>false</LinksUpToDate>
  <CharactersWithSpaces>33083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2025-10-30T15:41:00Z</dcterms:created>
  <dcterms:modified xsi:type="dcterms:W3CDTF">2025-10-30T15:44:00Z</dcterms:modified>
</cp:coreProperties>
</file>