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FE4FB"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b/>
          <w:bCs/>
          <w:color w:val="000000"/>
          <w:kern w:val="0"/>
          <w:lang w:val="es-CO" w:eastAsia="es-MX"/>
          <w14:ligatures w14:val="none"/>
        </w:rPr>
        <w:t>CONCEPTO 47000 DEL 31 DE JULIO DE 2025</w:t>
      </w:r>
    </w:p>
    <w:p w14:paraId="66505AFB"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b/>
          <w:bCs/>
          <w:color w:val="000000"/>
          <w:kern w:val="0"/>
          <w:lang w:val="es-CO" w:eastAsia="es-MX"/>
          <w14:ligatures w14:val="none"/>
        </w:rPr>
        <w:t>DIRECCIÓN DE APOYO FISCAL</w:t>
      </w:r>
    </w:p>
    <w:p w14:paraId="33BF3B4E"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4A52FD4C"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Señor</w:t>
      </w:r>
    </w:p>
    <w:p w14:paraId="6CCC1DE7" w14:textId="77777777" w:rsidR="004A0B51" w:rsidRPr="004A0B51" w:rsidRDefault="004A0B51" w:rsidP="004A0B51">
      <w:pPr>
        <w:jc w:val="both"/>
        <w:outlineLvl w:val="0"/>
        <w:rPr>
          <w:rFonts w:ascii="Times New Roman" w:eastAsia="Times New Roman" w:hAnsi="Times New Roman" w:cs="Times New Roman"/>
          <w:b/>
          <w:bCs/>
          <w:kern w:val="36"/>
          <w:sz w:val="48"/>
          <w:szCs w:val="48"/>
          <w:lang w:val="es-CO" w:eastAsia="es-MX"/>
          <w14:ligatures w14:val="none"/>
        </w:rPr>
      </w:pPr>
      <w:r w:rsidRPr="004A0B51">
        <w:rPr>
          <w:rFonts w:ascii="Verdana" w:eastAsia="Times New Roman" w:hAnsi="Verdana" w:cs="Times New Roman"/>
          <w:b/>
          <w:bCs/>
          <w:color w:val="000000"/>
          <w:kern w:val="36"/>
          <w:lang w:val="es-CO" w:eastAsia="es-MX"/>
          <w14:ligatures w14:val="none"/>
        </w:rPr>
        <w:t>Andrés Eduardo Salamanca</w:t>
      </w:r>
    </w:p>
    <w:p w14:paraId="6DA42A31"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hyperlink r:id="rId5" w:history="1">
        <w:r w:rsidRPr="004A0B51">
          <w:rPr>
            <w:rFonts w:ascii="Verdana" w:eastAsia="Times New Roman" w:hAnsi="Verdana" w:cs="Times New Roman"/>
            <w:color w:val="000000"/>
            <w:kern w:val="0"/>
            <w:u w:val="single"/>
            <w:lang w:val="es-CO" w:eastAsia="es-MX"/>
            <w14:ligatures w14:val="none"/>
          </w:rPr>
          <w:t>ccg-tributario@hklaw.com</w:t>
        </w:r>
      </w:hyperlink>
    </w:p>
    <w:p w14:paraId="4DF37CA1"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11011CCF"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Radicado: 2-2025-047000</w:t>
      </w:r>
    </w:p>
    <w:p w14:paraId="72BAEF63"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087EA008"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Bogotá D.C., 31 de julio de 2025 17:20</w:t>
      </w:r>
    </w:p>
    <w:p w14:paraId="7CCDF824"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04B587D9"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Radicado entrada 1-2025-072382 No. Expediente 10064/2025/GEA</w:t>
      </w:r>
    </w:p>
    <w:p w14:paraId="43295298"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235264FE"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Tema:</w:t>
      </w:r>
      <w:r w:rsidRPr="004A0B51">
        <w:rPr>
          <w:rFonts w:ascii="Verdana" w:eastAsia="Times New Roman" w:hAnsi="Verdana" w:cs="Times New Roman"/>
          <w:color w:val="000000"/>
          <w:kern w:val="0"/>
          <w:lang w:val="es-CO" w:eastAsia="es-MX"/>
          <w14:ligatures w14:val="none"/>
        </w:rPr>
        <w:tab/>
        <w:t>Impuesto de Industria y Comercio</w:t>
      </w:r>
    </w:p>
    <w:p w14:paraId="2AF91A99"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Subtema:</w:t>
      </w:r>
      <w:r w:rsidRPr="004A0B51">
        <w:rPr>
          <w:rFonts w:ascii="Verdana" w:eastAsia="Times New Roman" w:hAnsi="Verdana" w:cs="Times New Roman"/>
          <w:color w:val="000000"/>
          <w:kern w:val="0"/>
          <w:lang w:val="es-CO" w:eastAsia="es-MX"/>
          <w14:ligatures w14:val="none"/>
        </w:rPr>
        <w:tab/>
        <w:t>Venta de gas</w:t>
      </w:r>
    </w:p>
    <w:p w14:paraId="317E2D82"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50A4AA78"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Respetado señor Salamanca:</w:t>
      </w:r>
    </w:p>
    <w:p w14:paraId="582C9A0E"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421EEA78"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Mediante oficio dirigido a este Despacho consulta usted:</w:t>
      </w:r>
    </w:p>
    <w:p w14:paraId="3715E033"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5D46DFDD"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1.11. Tomando en cuenta lo anterior, se tiene el siguiente caso:</w:t>
      </w:r>
    </w:p>
    <w:p w14:paraId="03070B3D" w14:textId="77777777" w:rsidR="004A0B51" w:rsidRPr="004A0B51" w:rsidRDefault="004A0B51" w:rsidP="004A0B51">
      <w:pPr>
        <w:rPr>
          <w:rFonts w:ascii="Times New Roman" w:eastAsia="Times New Roman" w:hAnsi="Times New Roman" w:cs="Times New Roman"/>
          <w:kern w:val="0"/>
          <w:lang w:val="es-CO" w:eastAsia="es-MX"/>
          <w14:ligatures w14:val="none"/>
        </w:rPr>
      </w:pPr>
      <w:r w:rsidRPr="004A0B51">
        <w:rPr>
          <w:rFonts w:ascii="Times New Roman" w:eastAsia="Times New Roman" w:hAnsi="Times New Roman" w:cs="Times New Roman"/>
          <w:kern w:val="0"/>
          <w:lang w:val="es-CO" w:eastAsia="es-MX"/>
          <w14:ligatures w14:val="none"/>
        </w:rPr>
        <w:br/>
      </w:r>
    </w:p>
    <w:p w14:paraId="4046D07E" w14:textId="77777777" w:rsidR="004A0B51" w:rsidRPr="004A0B51" w:rsidRDefault="004A0B51" w:rsidP="004A0B51">
      <w:pPr>
        <w:numPr>
          <w:ilvl w:val="0"/>
          <w:numId w:val="1"/>
        </w:numPr>
        <w:ind w:left="360"/>
        <w:jc w:val="both"/>
        <w:textAlignment w:val="baseline"/>
        <w:rPr>
          <w:rFonts w:ascii="Verdana" w:eastAsia="Times New Roman" w:hAnsi="Verdana" w:cs="Times New Roman"/>
          <w:i/>
          <w:iCs/>
          <w:color w:val="000000"/>
          <w:kern w:val="0"/>
          <w:lang w:val="es-CO" w:eastAsia="es-MX"/>
          <w14:ligatures w14:val="none"/>
        </w:rPr>
      </w:pPr>
      <w:r w:rsidRPr="004A0B51">
        <w:rPr>
          <w:rFonts w:ascii="Verdana" w:eastAsia="Times New Roman" w:hAnsi="Verdana" w:cs="Times New Roman"/>
          <w:i/>
          <w:iCs/>
          <w:color w:val="000000"/>
          <w:kern w:val="0"/>
          <w:lang w:val="es-CO" w:eastAsia="es-MX"/>
          <w14:ligatures w14:val="none"/>
        </w:rPr>
        <w:t>Una sociedad (Vendedor) tiene por objeto social el comercio al por mayor de combustibles gaseosos y productos conexos.</w:t>
      </w:r>
    </w:p>
    <w:p w14:paraId="77B9477E" w14:textId="77777777" w:rsidR="004A0B51" w:rsidRPr="004A0B51" w:rsidRDefault="004A0B51" w:rsidP="004A0B51">
      <w:pPr>
        <w:numPr>
          <w:ilvl w:val="0"/>
          <w:numId w:val="1"/>
        </w:numPr>
        <w:ind w:left="360"/>
        <w:jc w:val="both"/>
        <w:textAlignment w:val="baseline"/>
        <w:rPr>
          <w:rFonts w:ascii="Verdana" w:eastAsia="Times New Roman" w:hAnsi="Verdana" w:cs="Times New Roman"/>
          <w:i/>
          <w:iCs/>
          <w:color w:val="000000"/>
          <w:kern w:val="0"/>
          <w:lang w:val="es-CO" w:eastAsia="es-MX"/>
          <w14:ligatures w14:val="none"/>
        </w:rPr>
      </w:pPr>
      <w:r w:rsidRPr="004A0B51">
        <w:rPr>
          <w:rFonts w:ascii="Verdana" w:eastAsia="Times New Roman" w:hAnsi="Verdana" w:cs="Times New Roman"/>
          <w:i/>
          <w:iCs/>
          <w:color w:val="000000"/>
          <w:kern w:val="0"/>
          <w:lang w:val="es-CO" w:eastAsia="es-MX"/>
          <w14:ligatures w14:val="none"/>
        </w:rPr>
        <w:t>El Vendedor es además una Empresa de Servicios Públicos Domiciliarios (“ESP”).</w:t>
      </w:r>
    </w:p>
    <w:p w14:paraId="19F895D3" w14:textId="77777777" w:rsidR="004A0B51" w:rsidRPr="004A0B51" w:rsidRDefault="004A0B51" w:rsidP="004A0B51">
      <w:pPr>
        <w:numPr>
          <w:ilvl w:val="0"/>
          <w:numId w:val="1"/>
        </w:numPr>
        <w:ind w:left="360"/>
        <w:jc w:val="both"/>
        <w:textAlignment w:val="baseline"/>
        <w:rPr>
          <w:rFonts w:ascii="Verdana" w:eastAsia="Times New Roman" w:hAnsi="Verdana" w:cs="Times New Roman"/>
          <w:i/>
          <w:iCs/>
          <w:color w:val="000000"/>
          <w:kern w:val="0"/>
          <w:lang w:val="es-CO" w:eastAsia="es-MX"/>
          <w14:ligatures w14:val="none"/>
        </w:rPr>
      </w:pPr>
      <w:r w:rsidRPr="004A0B51">
        <w:rPr>
          <w:rFonts w:ascii="Verdana" w:eastAsia="Times New Roman" w:hAnsi="Verdana" w:cs="Times New Roman"/>
          <w:i/>
          <w:iCs/>
          <w:color w:val="000000"/>
          <w:kern w:val="0"/>
          <w:lang w:val="es-CO" w:eastAsia="es-MX"/>
          <w14:ligatures w14:val="none"/>
        </w:rPr>
        <w:t>El Vendedor declara ICA en el municipio en el cual se perfecciona la venta (donde se convienen el precio y la cosa vendida) pues no existe un establecimiento de comercio, ni puntos de venta en los lugares en ningún municipio.</w:t>
      </w:r>
    </w:p>
    <w:p w14:paraId="70988C74" w14:textId="77777777" w:rsidR="004A0B51" w:rsidRPr="004A0B51" w:rsidRDefault="004A0B51" w:rsidP="004A0B51">
      <w:pPr>
        <w:numPr>
          <w:ilvl w:val="0"/>
          <w:numId w:val="1"/>
        </w:numPr>
        <w:ind w:left="360"/>
        <w:jc w:val="both"/>
        <w:textAlignment w:val="baseline"/>
        <w:rPr>
          <w:rFonts w:ascii="Verdana" w:eastAsia="Times New Roman" w:hAnsi="Verdana" w:cs="Times New Roman"/>
          <w:i/>
          <w:iCs/>
          <w:color w:val="000000"/>
          <w:kern w:val="0"/>
          <w:lang w:val="es-CO" w:eastAsia="es-MX"/>
          <w14:ligatures w14:val="none"/>
        </w:rPr>
      </w:pPr>
      <w:r w:rsidRPr="004A0B51">
        <w:rPr>
          <w:rFonts w:ascii="Verdana" w:eastAsia="Times New Roman" w:hAnsi="Verdana" w:cs="Times New Roman"/>
          <w:i/>
          <w:iCs/>
          <w:color w:val="000000"/>
          <w:kern w:val="0"/>
          <w:lang w:val="es-CO" w:eastAsia="es-MX"/>
          <w14:ligatures w14:val="none"/>
        </w:rPr>
        <w:t>El Vendedor vende gas a una empresa (“Comprador”) dedicada a la extracción de hulla (carbón de piedra), mediante la entrega en redes secundarias, el cual será usado para consumo propio de la empresa de extracción. Además, el Vendedor no realiza la conexión ni medición del gas en el punto de entrega del Comprador.</w:t>
      </w:r>
    </w:p>
    <w:p w14:paraId="27511EF3" w14:textId="77777777" w:rsidR="004A0B51" w:rsidRPr="004A0B51" w:rsidRDefault="004A0B51" w:rsidP="004A0B51">
      <w:pPr>
        <w:numPr>
          <w:ilvl w:val="0"/>
          <w:numId w:val="1"/>
        </w:numPr>
        <w:ind w:left="360"/>
        <w:jc w:val="both"/>
        <w:textAlignment w:val="baseline"/>
        <w:rPr>
          <w:rFonts w:ascii="Verdana" w:eastAsia="Times New Roman" w:hAnsi="Verdana" w:cs="Times New Roman"/>
          <w:i/>
          <w:iCs/>
          <w:color w:val="000000"/>
          <w:kern w:val="0"/>
          <w:lang w:val="es-CO" w:eastAsia="es-MX"/>
          <w14:ligatures w14:val="none"/>
        </w:rPr>
      </w:pPr>
      <w:r w:rsidRPr="004A0B51">
        <w:rPr>
          <w:rFonts w:ascii="Verdana" w:eastAsia="Times New Roman" w:hAnsi="Verdana" w:cs="Times New Roman"/>
          <w:i/>
          <w:iCs/>
          <w:color w:val="000000"/>
          <w:kern w:val="0"/>
          <w:lang w:val="es-CO" w:eastAsia="es-MX"/>
          <w14:ligatures w14:val="none"/>
        </w:rPr>
        <w:t>El Vendedor del gas no es responsable de la distribución del gas que vende, pues las redes utilizadas para entregar el gas son de propiedad de terceros ajenos al Vendedor y al Comprador.</w:t>
      </w:r>
    </w:p>
    <w:p w14:paraId="6E1D1DD3"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6E0E27C7"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II. Petición</w:t>
      </w:r>
    </w:p>
    <w:p w14:paraId="3018EE5C" w14:textId="77777777" w:rsidR="004A0B51" w:rsidRPr="004A0B51" w:rsidRDefault="004A0B51" w:rsidP="004A0B51">
      <w:pPr>
        <w:rPr>
          <w:rFonts w:ascii="Times New Roman" w:eastAsia="Times New Roman" w:hAnsi="Times New Roman" w:cs="Times New Roman"/>
          <w:kern w:val="0"/>
          <w:lang w:val="es-CO" w:eastAsia="es-MX"/>
          <w14:ligatures w14:val="none"/>
        </w:rPr>
      </w:pPr>
      <w:r w:rsidRPr="004A0B51">
        <w:rPr>
          <w:rFonts w:ascii="Times New Roman" w:eastAsia="Times New Roman" w:hAnsi="Times New Roman" w:cs="Times New Roman"/>
          <w:kern w:val="0"/>
          <w:lang w:val="es-CO" w:eastAsia="es-MX"/>
          <w14:ligatures w14:val="none"/>
        </w:rPr>
        <w:br/>
      </w:r>
    </w:p>
    <w:p w14:paraId="477D1D02" w14:textId="77777777" w:rsidR="004A0B51" w:rsidRPr="004A0B51" w:rsidRDefault="004A0B51" w:rsidP="004A0B51">
      <w:pPr>
        <w:numPr>
          <w:ilvl w:val="0"/>
          <w:numId w:val="2"/>
        </w:numPr>
        <w:ind w:left="360"/>
        <w:jc w:val="both"/>
        <w:textAlignment w:val="baseline"/>
        <w:rPr>
          <w:rFonts w:ascii="Verdana" w:eastAsia="Times New Roman" w:hAnsi="Verdana" w:cs="Times New Roman"/>
          <w:i/>
          <w:iCs/>
          <w:color w:val="000000"/>
          <w:kern w:val="0"/>
          <w:lang w:val="es-CO" w:eastAsia="es-MX"/>
          <w14:ligatures w14:val="none"/>
        </w:rPr>
      </w:pPr>
      <w:r w:rsidRPr="004A0B51">
        <w:rPr>
          <w:rFonts w:ascii="Verdana" w:eastAsia="Times New Roman" w:hAnsi="Verdana" w:cs="Times New Roman"/>
          <w:i/>
          <w:iCs/>
          <w:color w:val="000000"/>
          <w:kern w:val="0"/>
          <w:lang w:val="es-CO" w:eastAsia="es-MX"/>
          <w14:ligatures w14:val="none"/>
        </w:rPr>
        <w:lastRenderedPageBreak/>
        <w:t>Sírvase informar si en el caso planteado el ICA se causa por el desarrollo de una actividad de comercialización, siendo así en el municipio en el cual se perfecciona la venta.</w:t>
      </w:r>
    </w:p>
    <w:p w14:paraId="25CEAA8C" w14:textId="77777777" w:rsidR="004A0B51" w:rsidRPr="004A0B51" w:rsidRDefault="004A0B51" w:rsidP="004A0B51">
      <w:pPr>
        <w:numPr>
          <w:ilvl w:val="0"/>
          <w:numId w:val="2"/>
        </w:numPr>
        <w:ind w:left="360"/>
        <w:jc w:val="both"/>
        <w:textAlignment w:val="baseline"/>
        <w:rPr>
          <w:rFonts w:ascii="Verdana" w:eastAsia="Times New Roman" w:hAnsi="Verdana" w:cs="Times New Roman"/>
          <w:i/>
          <w:iCs/>
          <w:color w:val="000000"/>
          <w:kern w:val="0"/>
          <w:lang w:val="es-CO" w:eastAsia="es-MX"/>
          <w14:ligatures w14:val="none"/>
        </w:rPr>
      </w:pPr>
      <w:r w:rsidRPr="004A0B51">
        <w:rPr>
          <w:rFonts w:ascii="Verdana" w:eastAsia="Times New Roman" w:hAnsi="Verdana" w:cs="Times New Roman"/>
          <w:i/>
          <w:iCs/>
          <w:color w:val="000000"/>
          <w:kern w:val="0"/>
          <w:lang w:val="es-CO" w:eastAsia="es-MX"/>
          <w14:ligatures w14:val="none"/>
        </w:rPr>
        <w:t>Sírvase informar si por el contrario, se entiende que el Vendedor presta servicios públicos, por lo que el ICA se entendería causado en el municipio en donde se preste el servicio al usuario final sobre el valor promedio mensual facturado. Teniendo en cuenta que el Vendedor realiza una actividad de comercialización de gas conexa al servicio público (ver acápite “I”).</w:t>
      </w:r>
    </w:p>
    <w:p w14:paraId="04718804" w14:textId="77777777" w:rsidR="004A0B51" w:rsidRPr="004A0B51" w:rsidRDefault="004A0B51" w:rsidP="004A0B51">
      <w:pPr>
        <w:numPr>
          <w:ilvl w:val="0"/>
          <w:numId w:val="2"/>
        </w:numPr>
        <w:ind w:left="360"/>
        <w:jc w:val="both"/>
        <w:textAlignment w:val="baseline"/>
        <w:rPr>
          <w:rFonts w:ascii="Verdana" w:eastAsia="Times New Roman" w:hAnsi="Verdana" w:cs="Times New Roman"/>
          <w:i/>
          <w:iCs/>
          <w:color w:val="000000"/>
          <w:kern w:val="0"/>
          <w:lang w:val="es-CO" w:eastAsia="es-MX"/>
          <w14:ligatures w14:val="none"/>
        </w:rPr>
      </w:pPr>
      <w:r w:rsidRPr="004A0B51">
        <w:rPr>
          <w:rFonts w:ascii="Verdana" w:eastAsia="Times New Roman" w:hAnsi="Verdana" w:cs="Times New Roman"/>
          <w:i/>
          <w:iCs/>
          <w:color w:val="000000"/>
          <w:kern w:val="0"/>
          <w:lang w:val="es-CO" w:eastAsia="es-MX"/>
          <w14:ligatures w14:val="none"/>
        </w:rPr>
        <w:t>Sírvase informar si la actividad desarrollada por el Vendedor se entiende como comercialización de gas, o como la prestación de un servicio público domiciliario.</w:t>
      </w:r>
    </w:p>
    <w:p w14:paraId="127BBC0D"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2FE9F3D9"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Al respecto, sea lo primero señalar que si bien es cierto dentro de las funciones asignadas a esta Dirección está la de prestar asesoría en materia tributaria y financiera, es igualmente cierto que la misma se dirige puntualmente a las entidades territoriales, sin que en momento alguno se haga extensiva a los particulares, conforme con lo señalado por la jurisdicción de lo contencioso administrativo, al expresar que “…</w:t>
      </w:r>
      <w:r w:rsidRPr="004A0B51">
        <w:rPr>
          <w:rFonts w:ascii="Verdana" w:eastAsia="Times New Roman" w:hAnsi="Verdana" w:cs="Times New Roman"/>
          <w:i/>
          <w:iCs/>
          <w:color w:val="000000"/>
          <w:kern w:val="0"/>
          <w:lang w:val="es-CO" w:eastAsia="es-MX"/>
          <w14:ligatures w14:val="none"/>
        </w:rPr>
        <w:t>analizado el marco de las competencias de la entidad, la Subdirección de Fortalecimiento Institucional Territorial de la Dirección General de Apoyo Fiscal no tiene dentro de sus funciones asesorar a particulares, motivo por el cual no se encuentra vulneración al derecho de petición como lo indica el accionante</w:t>
      </w:r>
      <w:r w:rsidRPr="004A0B51">
        <w:rPr>
          <w:rFonts w:ascii="Verdana" w:eastAsia="Times New Roman" w:hAnsi="Verdana" w:cs="Times New Roman"/>
          <w:color w:val="000000"/>
          <w:kern w:val="0"/>
          <w:lang w:val="es-CO" w:eastAsia="es-MX"/>
          <w14:ligatures w14:val="none"/>
        </w:rPr>
        <w:t>”</w:t>
      </w:r>
      <w:r w:rsidRPr="004A0B51">
        <w:rPr>
          <w:rFonts w:ascii="Verdana" w:eastAsia="Times New Roman" w:hAnsi="Verdana" w:cs="Times New Roman"/>
          <w:color w:val="000000"/>
          <w:kern w:val="0"/>
          <w:sz w:val="14"/>
          <w:szCs w:val="14"/>
          <w:vertAlign w:val="superscript"/>
          <w:lang w:val="es-CO" w:eastAsia="es-MX"/>
          <w14:ligatures w14:val="none"/>
        </w:rPr>
        <w:t>1</w:t>
      </w:r>
      <w:r w:rsidRPr="004A0B51">
        <w:rPr>
          <w:rFonts w:ascii="Verdana" w:eastAsia="Times New Roman" w:hAnsi="Verdana" w:cs="Times New Roman"/>
          <w:color w:val="000000"/>
          <w:kern w:val="0"/>
          <w:lang w:val="es-CO" w:eastAsia="es-MX"/>
          <w14:ligatures w14:val="none"/>
        </w:rPr>
        <w:t>, lo anterior se refuerza cuando dichos particulares cuentan con formación profesional y fungen en calidad de asesores tributarios, pues tales circunstancias les imponen el estar debidamente preparados para abordar y dilucidar los temas respecto de los cuales prestan sus servicios.</w:t>
      </w:r>
    </w:p>
    <w:p w14:paraId="3D3C9D5B"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596D7783"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Adicionalmente, nuestra competencia no comprende el análisis ni la solución directa de problemas específicos. En virtud de lo anterior, y en respeto del derecho de petición que lo ampara como ciudadano, daremos respuesta en el ámbito de nuestra competencia y en los términos y con los alcances de los artículos 14-2 y 28 del Código de Procedimiento Administrativo y de lo Contencioso Administrativo, de manera que son generales, no son obligatorias ni vinculantes y no comprometen la responsabilidad de este Ministerio.</w:t>
      </w:r>
    </w:p>
    <w:p w14:paraId="578EB30E"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18781175"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En relación con la tipificaciones de las actividades desarrolladas por un contribuyentes hacemos eco de lo señalado por el Consejo de Estado en el sentido de que resultan determinantes “</w:t>
      </w:r>
      <w:r w:rsidRPr="004A0B51">
        <w:rPr>
          <w:rFonts w:ascii="Verdana" w:eastAsia="Times New Roman" w:hAnsi="Verdana" w:cs="Times New Roman"/>
          <w:i/>
          <w:iCs/>
          <w:color w:val="000000"/>
          <w:kern w:val="0"/>
          <w:lang w:val="es-CO" w:eastAsia="es-MX"/>
          <w14:ligatures w14:val="none"/>
        </w:rPr>
        <w:t>las pruebas allegadas al proceso, en cada caso</w:t>
      </w:r>
      <w:r w:rsidRPr="004A0B51">
        <w:rPr>
          <w:rFonts w:ascii="Verdana" w:eastAsia="Times New Roman" w:hAnsi="Verdana" w:cs="Times New Roman"/>
          <w:i/>
          <w:iCs/>
          <w:color w:val="000000"/>
          <w:kern w:val="0"/>
          <w:sz w:val="14"/>
          <w:szCs w:val="14"/>
          <w:vertAlign w:val="superscript"/>
          <w:lang w:val="es-CO" w:eastAsia="es-MX"/>
          <w14:ligatures w14:val="none"/>
        </w:rPr>
        <w:t>2</w:t>
      </w:r>
      <w:r w:rsidRPr="004A0B51">
        <w:rPr>
          <w:rFonts w:ascii="Verdana" w:eastAsia="Times New Roman" w:hAnsi="Verdana" w:cs="Times New Roman"/>
          <w:color w:val="000000"/>
          <w:kern w:val="0"/>
          <w:lang w:val="es-CO" w:eastAsia="es-MX"/>
          <w14:ligatures w14:val="none"/>
        </w:rPr>
        <w:t xml:space="preserve">”, por lo que en la labor de la clasificar una determinada actividad como comercial o de prestación de servicios públicos resulte necesario analizar de manera detallada y puntual la forma </w:t>
      </w:r>
      <w:r w:rsidRPr="004A0B51">
        <w:rPr>
          <w:rFonts w:ascii="Verdana" w:eastAsia="Times New Roman" w:hAnsi="Verdana" w:cs="Times New Roman"/>
          <w:color w:val="000000"/>
          <w:kern w:val="0"/>
          <w:lang w:val="es-CO" w:eastAsia="es-MX"/>
          <w14:ligatures w14:val="none"/>
        </w:rPr>
        <w:lastRenderedPageBreak/>
        <w:t>en la que se realiza la actividad gravada y los pormenores de los negocios jurídicos (contratos, acuerdos, etc.) que la enmarcan, pudiendo variar las consideraciones acá efectuadas dependiendo de esas particularidades.</w:t>
      </w:r>
    </w:p>
    <w:p w14:paraId="51426229"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7ABCA29F"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No obstante lo anterior, y partiendo de los términos de su consulta entendemos que de manera general la actividad realizada por el contribuyente de su consulta tiene las siguientes características:</w:t>
      </w:r>
    </w:p>
    <w:p w14:paraId="31B7A4E6" w14:textId="77777777" w:rsidR="004A0B51" w:rsidRPr="004A0B51" w:rsidRDefault="004A0B51" w:rsidP="004A0B51">
      <w:pPr>
        <w:rPr>
          <w:rFonts w:ascii="Times New Roman" w:eastAsia="Times New Roman" w:hAnsi="Times New Roman" w:cs="Times New Roman"/>
          <w:kern w:val="0"/>
          <w:lang w:val="es-CO" w:eastAsia="es-MX"/>
          <w14:ligatures w14:val="none"/>
        </w:rPr>
      </w:pPr>
      <w:r w:rsidRPr="004A0B51">
        <w:rPr>
          <w:rFonts w:ascii="Times New Roman" w:eastAsia="Times New Roman" w:hAnsi="Times New Roman" w:cs="Times New Roman"/>
          <w:kern w:val="0"/>
          <w:lang w:val="es-CO" w:eastAsia="es-MX"/>
          <w14:ligatures w14:val="none"/>
        </w:rPr>
        <w:br/>
      </w:r>
    </w:p>
    <w:p w14:paraId="6D3DDE0C" w14:textId="77777777" w:rsidR="004A0B51" w:rsidRPr="004A0B51" w:rsidRDefault="004A0B51" w:rsidP="004A0B51">
      <w:pPr>
        <w:numPr>
          <w:ilvl w:val="0"/>
          <w:numId w:val="3"/>
        </w:numPr>
        <w:jc w:val="both"/>
        <w:textAlignment w:val="baseline"/>
        <w:rPr>
          <w:rFonts w:ascii="Verdana" w:eastAsia="Times New Roman" w:hAnsi="Verdana" w:cs="Times New Roman"/>
          <w:color w:val="000000"/>
          <w:kern w:val="0"/>
          <w:lang w:val="es-CO" w:eastAsia="es-MX"/>
          <w14:ligatures w14:val="none"/>
        </w:rPr>
      </w:pPr>
      <w:r w:rsidRPr="004A0B51">
        <w:rPr>
          <w:rFonts w:ascii="Verdana" w:eastAsia="Times New Roman" w:hAnsi="Verdana" w:cs="Times New Roman"/>
          <w:color w:val="000000"/>
          <w:kern w:val="0"/>
          <w:lang w:val="es-CO" w:eastAsia="es-MX"/>
          <w14:ligatures w14:val="none"/>
        </w:rPr>
        <w:t>La realiza una Empresa de Servicios Públicos Domiciliarios (“ESP”).</w:t>
      </w:r>
    </w:p>
    <w:p w14:paraId="797C7209" w14:textId="77777777" w:rsidR="004A0B51" w:rsidRPr="004A0B51" w:rsidRDefault="004A0B51" w:rsidP="004A0B51">
      <w:pPr>
        <w:numPr>
          <w:ilvl w:val="0"/>
          <w:numId w:val="4"/>
        </w:numPr>
        <w:jc w:val="both"/>
        <w:textAlignment w:val="baseline"/>
        <w:rPr>
          <w:rFonts w:ascii="Verdana" w:eastAsia="Times New Roman" w:hAnsi="Verdana" w:cs="Times New Roman"/>
          <w:color w:val="000000"/>
          <w:kern w:val="0"/>
          <w:lang w:val="es-CO" w:eastAsia="es-MX"/>
          <w14:ligatures w14:val="none"/>
        </w:rPr>
      </w:pPr>
      <w:r w:rsidRPr="004A0B51">
        <w:rPr>
          <w:rFonts w:ascii="Verdana" w:eastAsia="Times New Roman" w:hAnsi="Verdana" w:cs="Times New Roman"/>
          <w:color w:val="000000"/>
          <w:kern w:val="0"/>
          <w:lang w:val="es-CO" w:eastAsia="es-MX"/>
          <w14:ligatures w14:val="none"/>
        </w:rPr>
        <w:t>La actividad se concreta en la venta de gas al por mayor.</w:t>
      </w:r>
    </w:p>
    <w:p w14:paraId="362FB0E4" w14:textId="77777777" w:rsidR="004A0B51" w:rsidRPr="004A0B51" w:rsidRDefault="004A0B51" w:rsidP="004A0B51">
      <w:pPr>
        <w:numPr>
          <w:ilvl w:val="0"/>
          <w:numId w:val="5"/>
        </w:numPr>
        <w:jc w:val="both"/>
        <w:textAlignment w:val="baseline"/>
        <w:rPr>
          <w:rFonts w:ascii="Verdana" w:eastAsia="Times New Roman" w:hAnsi="Verdana" w:cs="Times New Roman"/>
          <w:color w:val="000000"/>
          <w:kern w:val="0"/>
          <w:lang w:val="es-CO" w:eastAsia="es-MX"/>
          <w14:ligatures w14:val="none"/>
        </w:rPr>
      </w:pPr>
      <w:r w:rsidRPr="004A0B51">
        <w:rPr>
          <w:rFonts w:ascii="Verdana" w:eastAsia="Times New Roman" w:hAnsi="Verdana" w:cs="Times New Roman"/>
          <w:color w:val="000000"/>
          <w:kern w:val="0"/>
          <w:lang w:val="es-CO" w:eastAsia="es-MX"/>
          <w14:ligatures w14:val="none"/>
        </w:rPr>
        <w:t>El gas es vendido a un consumidor final (consumo propio)</w:t>
      </w:r>
    </w:p>
    <w:p w14:paraId="5EA1EAC6" w14:textId="77777777" w:rsidR="004A0B51" w:rsidRPr="004A0B51" w:rsidRDefault="004A0B51" w:rsidP="004A0B51">
      <w:pPr>
        <w:numPr>
          <w:ilvl w:val="0"/>
          <w:numId w:val="6"/>
        </w:numPr>
        <w:jc w:val="both"/>
        <w:textAlignment w:val="baseline"/>
        <w:rPr>
          <w:rFonts w:ascii="Verdana" w:eastAsia="Times New Roman" w:hAnsi="Verdana" w:cs="Times New Roman"/>
          <w:color w:val="000000"/>
          <w:kern w:val="0"/>
          <w:lang w:val="es-CO" w:eastAsia="es-MX"/>
          <w14:ligatures w14:val="none"/>
        </w:rPr>
      </w:pPr>
      <w:r w:rsidRPr="004A0B51">
        <w:rPr>
          <w:rFonts w:ascii="Verdana" w:eastAsia="Times New Roman" w:hAnsi="Verdana" w:cs="Times New Roman"/>
          <w:color w:val="000000"/>
          <w:kern w:val="0"/>
          <w:lang w:val="es-CO" w:eastAsia="es-MX"/>
          <w14:ligatures w14:val="none"/>
        </w:rPr>
        <w:t>El gas es entregado en redes secundarias.</w:t>
      </w:r>
    </w:p>
    <w:p w14:paraId="04B8A6DE" w14:textId="77777777" w:rsidR="004A0B51" w:rsidRPr="004A0B51" w:rsidRDefault="004A0B51" w:rsidP="004A0B51">
      <w:pPr>
        <w:numPr>
          <w:ilvl w:val="0"/>
          <w:numId w:val="7"/>
        </w:numPr>
        <w:jc w:val="both"/>
        <w:textAlignment w:val="baseline"/>
        <w:rPr>
          <w:rFonts w:ascii="Verdana" w:eastAsia="Times New Roman" w:hAnsi="Verdana" w:cs="Times New Roman"/>
          <w:color w:val="000000"/>
          <w:kern w:val="0"/>
          <w:lang w:val="es-CO" w:eastAsia="es-MX"/>
          <w14:ligatures w14:val="none"/>
        </w:rPr>
      </w:pPr>
      <w:r w:rsidRPr="004A0B51">
        <w:rPr>
          <w:rFonts w:ascii="Verdana" w:eastAsia="Times New Roman" w:hAnsi="Verdana" w:cs="Times New Roman"/>
          <w:color w:val="000000"/>
          <w:kern w:val="0"/>
          <w:lang w:val="es-CO" w:eastAsia="es-MX"/>
          <w14:ligatures w14:val="none"/>
        </w:rPr>
        <w:t>La distribución del gas se realiza a través de redes de terceros.</w:t>
      </w:r>
    </w:p>
    <w:p w14:paraId="3AE64C92"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3014402D"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Sobre la base de estas premisas, consideramos que resulta ilustrativo lo señalado en la reiterada jurisprudencia del Consejo de Estado en la que se lee:</w:t>
      </w:r>
    </w:p>
    <w:p w14:paraId="13EECE99"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4B788BAA"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 xml:space="preserve">“3. La parte demandante apeló la sentencia de primera instancia, señalando que la comercialización de gas combustible no es un servicio público domiciliario para efectos tributarios y, por lo tanto, la </w:t>
      </w:r>
      <w:proofErr w:type="spellStart"/>
      <w:r w:rsidRPr="004A0B51">
        <w:rPr>
          <w:rFonts w:ascii="Verdana" w:eastAsia="Times New Roman" w:hAnsi="Verdana" w:cs="Times New Roman"/>
          <w:i/>
          <w:iCs/>
          <w:color w:val="000000"/>
          <w:kern w:val="0"/>
          <w:lang w:val="es-CO" w:eastAsia="es-MX"/>
          <w14:ligatures w14:val="none"/>
        </w:rPr>
        <w:t>causación</w:t>
      </w:r>
      <w:proofErr w:type="spellEnd"/>
      <w:r w:rsidRPr="004A0B51">
        <w:rPr>
          <w:rFonts w:ascii="Verdana" w:eastAsia="Times New Roman" w:hAnsi="Verdana" w:cs="Times New Roman"/>
          <w:i/>
          <w:iCs/>
          <w:color w:val="000000"/>
          <w:kern w:val="0"/>
          <w:lang w:val="es-CO" w:eastAsia="es-MX"/>
          <w14:ligatures w14:val="none"/>
        </w:rPr>
        <w:t xml:space="preserve"> del ICA no se rige por el artículo 51 de la Ley 383 de 1997, sino por las reglas de la Ley 14 de 1983.</w:t>
      </w:r>
    </w:p>
    <w:p w14:paraId="6A92C88E"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1C24DA96"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Al respecto, el artículo 14.28 de la Ley 142 de 1994 contiene la siguiente definición:</w:t>
      </w:r>
    </w:p>
    <w:p w14:paraId="4CE26EA7"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25BBE56B"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«SERVICIO PÚBLICO DOMICILIARIO DE GAS COMBUSTIBLE. Es el conjunto de actividades ordenadas a la distribución de gas combustible, por tubería u otro medio, desde un sitio de acopio de grandes volúmenes o desde un gasoducto central hasta la instalación de un consumidor final, incluyendo su conexión y medición. También se aplicará esta Ley a las actividades complementarias de comercialización desde la producción y transporte de gas por un gasoducto principal, o por otros medios, desde el sitio de generación hasta aquel en donde se conecte a una red secundaria.»</w:t>
      </w:r>
    </w:p>
    <w:p w14:paraId="345D112A"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7168432F"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 xml:space="preserve">En los términos de la norma en mención, para considerar que se trata de la prestación de un servicio público domiciliario de gas combustible, es necesario verificar i) que haya distribución de gas combustible; </w:t>
      </w:r>
      <w:proofErr w:type="spellStart"/>
      <w:r w:rsidRPr="004A0B51">
        <w:rPr>
          <w:rFonts w:ascii="Verdana" w:eastAsia="Times New Roman" w:hAnsi="Verdana" w:cs="Times New Roman"/>
          <w:i/>
          <w:iCs/>
          <w:color w:val="000000"/>
          <w:kern w:val="0"/>
          <w:lang w:val="es-CO" w:eastAsia="es-MX"/>
          <w14:ligatures w14:val="none"/>
        </w:rPr>
        <w:t>ii</w:t>
      </w:r>
      <w:proofErr w:type="spellEnd"/>
      <w:r w:rsidRPr="004A0B51">
        <w:rPr>
          <w:rFonts w:ascii="Verdana" w:eastAsia="Times New Roman" w:hAnsi="Verdana" w:cs="Times New Roman"/>
          <w:i/>
          <w:iCs/>
          <w:color w:val="000000"/>
          <w:kern w:val="0"/>
          <w:lang w:val="es-CO" w:eastAsia="es-MX"/>
          <w14:ligatures w14:val="none"/>
        </w:rPr>
        <w:t xml:space="preserve">) que la distribución sea realizada por tubería u otro medio desde el sitio de acopio o desde un gasoducto central; y </w:t>
      </w:r>
      <w:proofErr w:type="spellStart"/>
      <w:r w:rsidRPr="004A0B51">
        <w:rPr>
          <w:rFonts w:ascii="Verdana" w:eastAsia="Times New Roman" w:hAnsi="Verdana" w:cs="Times New Roman"/>
          <w:i/>
          <w:iCs/>
          <w:color w:val="000000"/>
          <w:kern w:val="0"/>
          <w:lang w:val="es-CO" w:eastAsia="es-MX"/>
          <w14:ligatures w14:val="none"/>
        </w:rPr>
        <w:t>iii</w:t>
      </w:r>
      <w:proofErr w:type="spellEnd"/>
      <w:r w:rsidRPr="004A0B51">
        <w:rPr>
          <w:rFonts w:ascii="Verdana" w:eastAsia="Times New Roman" w:hAnsi="Verdana" w:cs="Times New Roman"/>
          <w:i/>
          <w:iCs/>
          <w:color w:val="000000"/>
          <w:kern w:val="0"/>
          <w:lang w:val="es-CO" w:eastAsia="es-MX"/>
          <w14:ligatures w14:val="none"/>
        </w:rPr>
        <w:t>) que sea entregado en las instalaciones del consumidor final, incluyendo su conexión y medición</w:t>
      </w:r>
    </w:p>
    <w:p w14:paraId="47E6547D"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6A442755"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u w:val="single"/>
          <w:lang w:val="es-CO" w:eastAsia="es-MX"/>
          <w14:ligatures w14:val="none"/>
        </w:rPr>
        <w:t>Así mismo, será servicio público domiciliario de gas, la comercialización desde la</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producción y transporte por un gasoducto principal, o por otros medios, desde el sitio</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de generación hasta donde se conecte a una red secundaria para su entrega</w:t>
      </w:r>
      <w:r w:rsidRPr="004A0B51">
        <w:rPr>
          <w:rFonts w:ascii="Verdana" w:eastAsia="Times New Roman" w:hAnsi="Verdana" w:cs="Times New Roman"/>
          <w:i/>
          <w:iCs/>
          <w:color w:val="000000"/>
          <w:kern w:val="0"/>
          <w:lang w:val="es-CO" w:eastAsia="es-MX"/>
          <w14:ligatures w14:val="none"/>
        </w:rPr>
        <w:t>.</w:t>
      </w:r>
    </w:p>
    <w:p w14:paraId="53A5E59C"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1E666392"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Con base en esta norma, esta Sección resolvió un caso similar al de la referencia en la Sentencia del 12 de noviembre de 2020 y en la Sentencia del 11 de marzo de 2021 , por lo que las consideraciones allí expuestas serán reiteradas a continuación.</w:t>
      </w:r>
    </w:p>
    <w:p w14:paraId="59069FF8"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6E33D551"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 xml:space="preserve">Esas sentencias precisaron que, con base en la definición del artículo 14.28 de la Ley 142 de 1994, </w:t>
      </w:r>
      <w:r w:rsidRPr="004A0B51">
        <w:rPr>
          <w:rFonts w:ascii="Verdana" w:eastAsia="Times New Roman" w:hAnsi="Verdana" w:cs="Times New Roman"/>
          <w:i/>
          <w:iCs/>
          <w:color w:val="000000"/>
          <w:kern w:val="0"/>
          <w:u w:val="single"/>
          <w:lang w:val="es-CO" w:eastAsia="es-MX"/>
          <w14:ligatures w14:val="none"/>
        </w:rPr>
        <w:t>no es requisito para considerar la actividad como un servicio público</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domiciliario, que el medio utilizado para la distribución del gas no sea de propiedad del</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vendedor. Entonces, lo relevante para estos efectos, es que el gas llegue al lugar donde</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se encuentra el consumidor final</w:t>
      </w:r>
      <w:r w:rsidRPr="004A0B51">
        <w:rPr>
          <w:rFonts w:ascii="Verdana" w:eastAsia="Times New Roman" w:hAnsi="Verdana" w:cs="Times New Roman"/>
          <w:i/>
          <w:iCs/>
          <w:color w:val="000000"/>
          <w:kern w:val="0"/>
          <w:lang w:val="es-CO" w:eastAsia="es-MX"/>
          <w14:ligatures w14:val="none"/>
        </w:rPr>
        <w:t>.</w:t>
      </w:r>
    </w:p>
    <w:p w14:paraId="558B77AA"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627A9C88"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Ahora, el artículo 51 de la Ley 383 de 1997, por medio del cual se desarrolla el artículo 24.1 de la Ley 142 de 1994, estableció las reglas de territorialidad del ICA para los servicios públicos domiciliarios. Así, para el servicio público domiciliario de distribución de gas combustible, el impuesto se causa en el municipio donde se presta el servicio al usuario final sobre el valor promedio mensual facturado.</w:t>
      </w:r>
    </w:p>
    <w:p w14:paraId="14D3FD34"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23A567AB"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4. Para el caso bajo examen, obra copia de la Oferta Mercantil Nro. 40000459. En ella, la demandante se compromete con Diaco S.A. E.S.P. a suministrar gas combustible, entre otros periodos, por el mes de enero de 2012. Para estos efectos, la oferta señala que será comprado gas a Cusiana para su posterior venta al ofertado y que el transporte será realizado por TGI .</w:t>
      </w:r>
    </w:p>
    <w:p w14:paraId="1B86D24E"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1E3EC33E"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Aunque dicho documento no señala que Diaco S.A. E.S.P. es un consumidor final, calcula el precio del producto adicionando la contribución que las leyes 142 y 143 de 1994 imponen a los usuarios industriales , por lo que se acredita esa calidad. Además, este hecho fue puesto de presente por los actos acusados, que se presumen legales, sin que la demandante allegara alguna prueba en contrario .</w:t>
      </w:r>
    </w:p>
    <w:p w14:paraId="68D4F13F"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4C37E1EA"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proofErr w:type="spellStart"/>
      <w:r w:rsidRPr="004A0B51">
        <w:rPr>
          <w:rFonts w:ascii="Verdana" w:eastAsia="Times New Roman" w:hAnsi="Verdana" w:cs="Times New Roman"/>
          <w:i/>
          <w:iCs/>
          <w:color w:val="000000"/>
          <w:kern w:val="0"/>
          <w:lang w:val="es-CO" w:eastAsia="es-MX"/>
          <w14:ligatures w14:val="none"/>
        </w:rPr>
        <w:t>Isagen</w:t>
      </w:r>
      <w:proofErr w:type="spellEnd"/>
      <w:r w:rsidRPr="004A0B51">
        <w:rPr>
          <w:rFonts w:ascii="Verdana" w:eastAsia="Times New Roman" w:hAnsi="Verdana" w:cs="Times New Roman"/>
          <w:i/>
          <w:iCs/>
          <w:color w:val="000000"/>
          <w:kern w:val="0"/>
          <w:lang w:val="es-CO" w:eastAsia="es-MX"/>
          <w14:ligatures w14:val="none"/>
        </w:rPr>
        <w:t xml:space="preserve"> S.A. E.S.P. sostuvo que </w:t>
      </w:r>
      <w:r w:rsidRPr="004A0B51">
        <w:rPr>
          <w:rFonts w:ascii="Verdana" w:eastAsia="Times New Roman" w:hAnsi="Verdana" w:cs="Times New Roman"/>
          <w:i/>
          <w:iCs/>
          <w:color w:val="000000"/>
          <w:kern w:val="0"/>
          <w:u w:val="single"/>
          <w:lang w:val="es-CO" w:eastAsia="es-MX"/>
          <w14:ligatures w14:val="none"/>
        </w:rPr>
        <w:t>la medición del gas se realiza en un medidor de</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propiedad de Diaco S.A. E.S.P., por lo que no existe una entrega en el domicilio del</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usuario final</w:t>
      </w:r>
      <w:r w:rsidRPr="004A0B51">
        <w:rPr>
          <w:rFonts w:ascii="Verdana" w:eastAsia="Times New Roman" w:hAnsi="Verdana" w:cs="Times New Roman"/>
          <w:i/>
          <w:iCs/>
          <w:color w:val="000000"/>
          <w:kern w:val="0"/>
          <w:lang w:val="es-CO" w:eastAsia="es-MX"/>
          <w14:ligatures w14:val="none"/>
        </w:rPr>
        <w:t xml:space="preserve">. Sin embargo, </w:t>
      </w:r>
      <w:r w:rsidRPr="004A0B51">
        <w:rPr>
          <w:rFonts w:ascii="Verdana" w:eastAsia="Times New Roman" w:hAnsi="Verdana" w:cs="Times New Roman"/>
          <w:i/>
          <w:iCs/>
          <w:color w:val="000000"/>
          <w:kern w:val="0"/>
          <w:u w:val="single"/>
          <w:lang w:val="es-CO" w:eastAsia="es-MX"/>
          <w14:ligatures w14:val="none"/>
        </w:rPr>
        <w:t>la ley no exige que el medio utilizado para la distribución</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 xml:space="preserve">del gas o para su medición </w:t>
      </w:r>
      <w:r w:rsidRPr="004A0B51">
        <w:rPr>
          <w:rFonts w:ascii="Verdana" w:eastAsia="Times New Roman" w:hAnsi="Verdana" w:cs="Times New Roman"/>
          <w:i/>
          <w:iCs/>
          <w:color w:val="000000"/>
          <w:kern w:val="0"/>
          <w:u w:val="single"/>
          <w:lang w:val="es-CO" w:eastAsia="es-MX"/>
          <w14:ligatures w14:val="none"/>
        </w:rPr>
        <w:lastRenderedPageBreak/>
        <w:t>deba ser de propiedad del vendedor para que la actividad</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se considere un servicio público domiciliario</w:t>
      </w:r>
      <w:r w:rsidRPr="004A0B51">
        <w:rPr>
          <w:rFonts w:ascii="Verdana" w:eastAsia="Times New Roman" w:hAnsi="Verdana" w:cs="Times New Roman"/>
          <w:i/>
          <w:iCs/>
          <w:color w:val="000000"/>
          <w:kern w:val="0"/>
          <w:lang w:val="es-CO" w:eastAsia="es-MX"/>
          <w14:ligatures w14:val="none"/>
        </w:rPr>
        <w:t>. Así las cosas, este hecho no es suficiente para considerar que Diaco S.A. E.S.P. no es un usuario final.</w:t>
      </w:r>
    </w:p>
    <w:p w14:paraId="16E2BAA8"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131F810C"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 xml:space="preserve">Entonces, conforme con lo expuesto en la Sentencia del 12 de noviembre de 2020, </w:t>
      </w:r>
      <w:r w:rsidRPr="004A0B51">
        <w:rPr>
          <w:rFonts w:ascii="Verdana" w:eastAsia="Times New Roman" w:hAnsi="Verdana" w:cs="Times New Roman"/>
          <w:i/>
          <w:iCs/>
          <w:color w:val="000000"/>
          <w:kern w:val="0"/>
          <w:u w:val="single"/>
          <w:lang w:val="es-CO" w:eastAsia="es-MX"/>
          <w14:ligatures w14:val="none"/>
        </w:rPr>
        <w:t>al</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realizarse la venta de gas al consumidor final, se considera que la comercialización</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realizada por la demandante es un servicio público domiciliario y, por lo tanto, es</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aplicable el artículo 51 de la Ley 383 de 1997</w:t>
      </w:r>
      <w:r w:rsidRPr="004A0B51">
        <w:rPr>
          <w:rFonts w:ascii="Verdana" w:eastAsia="Times New Roman" w:hAnsi="Verdana" w:cs="Times New Roman"/>
          <w:i/>
          <w:iCs/>
          <w:color w:val="000000"/>
          <w:kern w:val="0"/>
          <w:lang w:val="es-CO" w:eastAsia="es-MX"/>
          <w14:ligatures w14:val="none"/>
        </w:rPr>
        <w:t>.</w:t>
      </w:r>
    </w:p>
    <w:p w14:paraId="3AA65DCF"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1B69ADBC"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Si bien es cierto que, como lo indicó la demandante, la oferente no realiza la actividad de transporte, esto no impide la aplicación de esta norma. Por esto es que la actividad está gravada en el municipio donde se encuentre el consumidor final, que en este caso es Tuta porque así lo admitió la demandante. Además, este hecho está probado por la oferta mercantil citada y la factura expedida por TGI .” (Énfasis nuestro)</w:t>
      </w:r>
      <w:r w:rsidRPr="004A0B51">
        <w:rPr>
          <w:rFonts w:ascii="Verdana" w:eastAsia="Times New Roman" w:hAnsi="Verdana" w:cs="Times New Roman"/>
          <w:i/>
          <w:iCs/>
          <w:color w:val="000000"/>
          <w:kern w:val="0"/>
          <w:sz w:val="14"/>
          <w:szCs w:val="14"/>
          <w:vertAlign w:val="superscript"/>
          <w:lang w:val="es-CO" w:eastAsia="es-MX"/>
          <w14:ligatures w14:val="none"/>
        </w:rPr>
        <w:t>3</w:t>
      </w:r>
    </w:p>
    <w:p w14:paraId="403ACF7A"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2B364E6B"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En otro pronunciamiento se lee lo siguiente:</w:t>
      </w:r>
    </w:p>
    <w:p w14:paraId="5D6B2334"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723274E7"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“Ahora bien, el artículo 51 de la Ley 383 de 1997, por medio del cual se desarrolla el artículo 24.1 de la Ley 142 de 1994, estableció las reglas de territorialidad del ICA para los servicios públicos domiciliarios de la siguiente manera:</w:t>
      </w:r>
    </w:p>
    <w:p w14:paraId="14BBBB28"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01079CF7"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w:t>
      </w:r>
    </w:p>
    <w:p w14:paraId="1C1D6262"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2E541B5A"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En relación con dicha normativa, la Sala se ha pronunciado en los siguientes términos:</w:t>
      </w:r>
    </w:p>
    <w:p w14:paraId="6BAA1130"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76625D8D"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«Como se puede apreciar, la Ley 383 de 1997 fijó dos reglas de causación y de base gravable del impuesto de industria y comercio para el servicio público domiciliario de distribución de gas combustible y sus actividades complementarias:</w:t>
      </w:r>
    </w:p>
    <w:p w14:paraId="36ABDD17"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7A4D805C"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 xml:space="preserve">Para </w:t>
      </w:r>
      <w:r w:rsidRPr="004A0B51">
        <w:rPr>
          <w:rFonts w:ascii="Verdana" w:eastAsia="Times New Roman" w:hAnsi="Verdana" w:cs="Times New Roman"/>
          <w:b/>
          <w:bCs/>
          <w:i/>
          <w:iCs/>
          <w:color w:val="000000"/>
          <w:kern w:val="0"/>
          <w:lang w:val="es-CO" w:eastAsia="es-MX"/>
          <w14:ligatures w14:val="none"/>
        </w:rPr>
        <w:t>el servicio público domiciliario de distribución de gas combustible, el impuesto se causa en el municipio donde se presta el servicio al usuario final sobre el valor promedio mensual facturado</w:t>
      </w:r>
      <w:r w:rsidRPr="004A0B51">
        <w:rPr>
          <w:rFonts w:ascii="Verdana" w:eastAsia="Times New Roman" w:hAnsi="Verdana" w:cs="Times New Roman"/>
          <w:i/>
          <w:iCs/>
          <w:color w:val="000000"/>
          <w:kern w:val="0"/>
          <w:lang w:val="es-CO" w:eastAsia="es-MX"/>
          <w14:ligatures w14:val="none"/>
        </w:rPr>
        <w:t>.</w:t>
      </w:r>
    </w:p>
    <w:p w14:paraId="0A4254CB"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2DBB9D87"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Para el transporte de gas combustible, el impuesto se causa «en puerta de ciudad». Y se tasa sobre el ingreso promedio obtenido en el respectivo municipio.» (Se resalta)</w:t>
      </w:r>
    </w:p>
    <w:p w14:paraId="11971D36"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6D4859EF"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lastRenderedPageBreak/>
        <w:t>Así, en el presente caso, el análisis se efectuará a partir de las ofertas mercantiles que obran en el expediente, pues fueron estos los documentos que tuvieron en cuenta, tanto la Administración como el Tribunal de primera instancia, para verificar si las operaciones tanto de venta de energía, como la prestación del servicio de gas por parte de ISAGEN, estaban sujetas al impuesto de industria y comercio en la jurisdicción del municipio de Tuta.</w:t>
      </w:r>
    </w:p>
    <w:p w14:paraId="0BAF244F"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59108F30"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En ese orden, en la oferta mercantil 40000459 del 27 de diciembre de 2010, se refiere al suministro de gas por parte de ISAGEN S.A. a DIACO S.A. para la operación de una central generadora. Específicamente se estableció como objeto de esta :</w:t>
      </w:r>
    </w:p>
    <w:p w14:paraId="6B520FE2"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46383D13"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 xml:space="preserve">«… El suministro de la totalidad de la demanda de Gas Natural que el ofertado requiera a lo largo de duración de la oferta en su planta de Tuta (Boyacá), hasta una cantidad disponible diaria de 1.800 </w:t>
      </w:r>
      <w:proofErr w:type="spellStart"/>
      <w:r w:rsidRPr="004A0B51">
        <w:rPr>
          <w:rFonts w:ascii="Verdana" w:eastAsia="Times New Roman" w:hAnsi="Verdana" w:cs="Times New Roman"/>
          <w:i/>
          <w:iCs/>
          <w:color w:val="000000"/>
          <w:kern w:val="0"/>
          <w:lang w:val="es-CO" w:eastAsia="es-MX"/>
          <w14:ligatures w14:val="none"/>
        </w:rPr>
        <w:t>Million</w:t>
      </w:r>
      <w:proofErr w:type="spellEnd"/>
      <w:r w:rsidRPr="004A0B51">
        <w:rPr>
          <w:rFonts w:ascii="Verdana" w:eastAsia="Times New Roman" w:hAnsi="Verdana" w:cs="Times New Roman"/>
          <w:i/>
          <w:iCs/>
          <w:color w:val="000000"/>
          <w:kern w:val="0"/>
          <w:lang w:val="es-CO" w:eastAsia="es-MX"/>
          <w14:ligatures w14:val="none"/>
        </w:rPr>
        <w:t xml:space="preserve"> British Termal </w:t>
      </w:r>
      <w:proofErr w:type="spellStart"/>
      <w:r w:rsidRPr="004A0B51">
        <w:rPr>
          <w:rFonts w:ascii="Verdana" w:eastAsia="Times New Roman" w:hAnsi="Verdana" w:cs="Times New Roman"/>
          <w:i/>
          <w:iCs/>
          <w:color w:val="000000"/>
          <w:kern w:val="0"/>
          <w:lang w:val="es-CO" w:eastAsia="es-MX"/>
          <w14:ligatures w14:val="none"/>
        </w:rPr>
        <w:t>Units</w:t>
      </w:r>
      <w:proofErr w:type="spellEnd"/>
      <w:r w:rsidRPr="004A0B51">
        <w:rPr>
          <w:rFonts w:ascii="Verdana" w:eastAsia="Times New Roman" w:hAnsi="Verdana" w:cs="Times New Roman"/>
          <w:i/>
          <w:iCs/>
          <w:color w:val="000000"/>
          <w:kern w:val="0"/>
          <w:lang w:val="es-CO" w:eastAsia="es-MX"/>
          <w14:ligatures w14:val="none"/>
        </w:rPr>
        <w:t xml:space="preserve"> Day (MBTUD)[…] el Gas natural objeto de suministro de la presente oferta provendrá de los campos de producción de Cusiana. El punto de entrega del Gas Natural será en </w:t>
      </w:r>
      <w:r w:rsidRPr="004A0B51">
        <w:rPr>
          <w:rFonts w:ascii="Verdana" w:eastAsia="Times New Roman" w:hAnsi="Verdana" w:cs="Times New Roman"/>
          <w:b/>
          <w:bCs/>
          <w:i/>
          <w:iCs/>
          <w:color w:val="000000"/>
          <w:kern w:val="0"/>
          <w:lang w:val="es-CO" w:eastAsia="es-MX"/>
          <w14:ligatures w14:val="none"/>
        </w:rPr>
        <w:t xml:space="preserve">el Punto de Conexión del OFERTADO </w:t>
      </w:r>
      <w:r w:rsidRPr="004A0B51">
        <w:rPr>
          <w:rFonts w:ascii="Verdana" w:eastAsia="Times New Roman" w:hAnsi="Verdana" w:cs="Times New Roman"/>
          <w:i/>
          <w:iCs/>
          <w:color w:val="000000"/>
          <w:kern w:val="0"/>
          <w:lang w:val="es-CO" w:eastAsia="es-MX"/>
          <w14:ligatures w14:val="none"/>
        </w:rPr>
        <w:t>al sistema de transporte de TRANSPORTADORA DE GAS DEL INTERIOR – TGI S.A. E.S.P.» (Se resalta).</w:t>
      </w:r>
    </w:p>
    <w:p w14:paraId="768BD1FF"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6D042A81"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 xml:space="preserve">Conforme se desprende de la referida oferta, así como de lo señalado por las partes, para la distribución del gas, se utilizó como medio de transporte las redes de propiedad de la sociedad Transportadora de Gas Internacional TGI, proveniente del campo de producción «Cusiana» (punto de conexión), hasta las instalaciones del ofertado DIACO S.A., por lo que, </w:t>
      </w:r>
      <w:r w:rsidRPr="004A0B51">
        <w:rPr>
          <w:rFonts w:ascii="Verdana" w:eastAsia="Times New Roman" w:hAnsi="Verdana" w:cs="Times New Roman"/>
          <w:i/>
          <w:iCs/>
          <w:color w:val="000000"/>
          <w:kern w:val="0"/>
          <w:u w:val="single"/>
          <w:lang w:val="es-CO" w:eastAsia="es-MX"/>
          <w14:ligatures w14:val="none"/>
        </w:rPr>
        <w:t>si bien es cierto, dichas redes no son de propiedad de ISAGEN, esa</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condición no es requisito para considerar que la actividad que desplegó la actora en el</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municipio de Tuta es o no un servicio público domiciliario, en los términos de los</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artículos 14.28 de la Ley 142 de 1994 y 51 de la Ley 383 de 1997.</w:t>
      </w:r>
    </w:p>
    <w:p w14:paraId="53DF9544"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436E3C07"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De las facturas allegadas al proceso, se advierte que dentro de los conceptos por los cuales DIACO S.A. pagó a la sociedad ISAGEN S.A., se encuentran no solo el suministro del gas, sino también el transporte, las pérdidas por el transporte y la comercialización.</w:t>
      </w:r>
    </w:p>
    <w:p w14:paraId="7701A8B7"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15B25BF6"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Además, se estableció como punto de entrega el municipio de Tuta, la ubicación del punto «Cusiana Tuta» .</w:t>
      </w:r>
    </w:p>
    <w:p w14:paraId="767E99FF"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71E6BD3A"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 xml:space="preserve">En cuanto al requisito atinente a que el gas llegue al lugar en el que se encuentre el consumidor final, se tiene que en este caso el gas </w:t>
      </w:r>
      <w:r w:rsidRPr="004A0B51">
        <w:rPr>
          <w:rFonts w:ascii="Verdana" w:eastAsia="Times New Roman" w:hAnsi="Verdana" w:cs="Times New Roman"/>
          <w:i/>
          <w:iCs/>
          <w:color w:val="000000"/>
          <w:kern w:val="0"/>
          <w:lang w:val="es-CO" w:eastAsia="es-MX"/>
          <w14:ligatures w14:val="none"/>
        </w:rPr>
        <w:lastRenderedPageBreak/>
        <w:t>suministrado por ISAGEN es entregado en las instalaciones de DIACO S.A., ubicadas en el municipio de Tuta, y quien es el consumidor final.</w:t>
      </w:r>
    </w:p>
    <w:p w14:paraId="3BF641FF"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714EAB13"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 xml:space="preserve">Respecto a la conexión y medición del gas suministrado por ISAGEN, como se evidencia en el acápite denominado «precio para gas natural en firme» y «precios para gas natural interrumpible», así como del Anexo 1 de las ofertas mercantiles «PROCEDIMIENTO OPERATIVO», </w:t>
      </w:r>
      <w:r w:rsidRPr="004A0B51">
        <w:rPr>
          <w:rFonts w:ascii="Verdana" w:eastAsia="Times New Roman" w:hAnsi="Verdana" w:cs="Times New Roman"/>
          <w:i/>
          <w:iCs/>
          <w:color w:val="000000"/>
          <w:kern w:val="0"/>
          <w:u w:val="single"/>
          <w:lang w:val="es-CO" w:eastAsia="es-MX"/>
          <w14:ligatures w14:val="none"/>
        </w:rPr>
        <w:t>se establecieron fórmulas fijas para determinar los</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valores según el consumo diario de gas, incluso hasta tarifas fijas, de manera que dicho</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bien es efectivamente medido para efectos de facturación</w:t>
      </w:r>
      <w:r w:rsidRPr="004A0B51">
        <w:rPr>
          <w:rFonts w:ascii="Verdana" w:eastAsia="Times New Roman" w:hAnsi="Verdana" w:cs="Times New Roman"/>
          <w:i/>
          <w:iCs/>
          <w:color w:val="000000"/>
          <w:kern w:val="0"/>
          <w:lang w:val="es-CO" w:eastAsia="es-MX"/>
          <w14:ligatures w14:val="none"/>
        </w:rPr>
        <w:t>.</w:t>
      </w:r>
    </w:p>
    <w:p w14:paraId="7205F721"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69E69729"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u w:val="single"/>
          <w:lang w:val="es-CO" w:eastAsia="es-MX"/>
          <w14:ligatures w14:val="none"/>
        </w:rPr>
        <w:t>Por los anteriores motivos, la Sala advierte que el servicio prestado por ISAGEN es un</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servicio público domiciliario, y no de comercialización simplemente, dado que cumple</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con los presupuestos señalados en el mencionado artículo 14.28 de la Ley 142 de 1994</w:t>
      </w:r>
      <w:r w:rsidRPr="004A0B51">
        <w:rPr>
          <w:rFonts w:ascii="Verdana" w:eastAsia="Times New Roman" w:hAnsi="Verdana" w:cs="Times New Roman"/>
          <w:i/>
          <w:iCs/>
          <w:color w:val="000000"/>
          <w:kern w:val="0"/>
          <w:lang w:val="es-CO" w:eastAsia="es-MX"/>
          <w14:ligatures w14:val="none"/>
        </w:rPr>
        <w:t>.</w:t>
      </w:r>
    </w:p>
    <w:p w14:paraId="4E41E892"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5183F95D"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 xml:space="preserve">Ahora bien, las Resoluciones 057 de 1996, 071 de 1999 y 011 de 2003 de la Comisión de Regulación de Energía y Gas -CREG- precisan que </w:t>
      </w:r>
      <w:r w:rsidRPr="004A0B51">
        <w:rPr>
          <w:rFonts w:ascii="Verdana" w:eastAsia="Times New Roman" w:hAnsi="Verdana" w:cs="Times New Roman"/>
          <w:i/>
          <w:iCs/>
          <w:color w:val="000000"/>
          <w:kern w:val="0"/>
          <w:u w:val="single"/>
          <w:lang w:val="es-CO" w:eastAsia="es-MX"/>
          <w14:ligatures w14:val="none"/>
        </w:rPr>
        <w:t>la comercialización consiste en la</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compra y venta de gas al mercado mayorista, ya sea a agentes regulados o no</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regulados, quienes carecen de la calidad de usuarios finales, pues destinan este</w:t>
      </w:r>
      <w:r w:rsidRPr="004A0B51">
        <w:rPr>
          <w:rFonts w:ascii="Verdana" w:eastAsia="Times New Roman" w:hAnsi="Verdana" w:cs="Times New Roman"/>
          <w:i/>
          <w:iCs/>
          <w:color w:val="000000"/>
          <w:kern w:val="0"/>
          <w:lang w:val="es-CO" w:eastAsia="es-MX"/>
          <w14:ligatures w14:val="none"/>
        </w:rPr>
        <w:t xml:space="preserve"> </w:t>
      </w:r>
      <w:r w:rsidRPr="004A0B51">
        <w:rPr>
          <w:rFonts w:ascii="Verdana" w:eastAsia="Times New Roman" w:hAnsi="Verdana" w:cs="Times New Roman"/>
          <w:i/>
          <w:iCs/>
          <w:color w:val="000000"/>
          <w:kern w:val="0"/>
          <w:u w:val="single"/>
          <w:lang w:val="es-CO" w:eastAsia="es-MX"/>
          <w14:ligatures w14:val="none"/>
        </w:rPr>
        <w:t>producto a su distribución o a otras operaciones del sector</w:t>
      </w:r>
      <w:r w:rsidRPr="004A0B51">
        <w:rPr>
          <w:rFonts w:ascii="Verdana" w:eastAsia="Times New Roman" w:hAnsi="Verdana" w:cs="Times New Roman"/>
          <w:i/>
          <w:iCs/>
          <w:color w:val="000000"/>
          <w:kern w:val="0"/>
          <w:lang w:val="es-CO" w:eastAsia="es-MX"/>
          <w14:ligatures w14:val="none"/>
        </w:rPr>
        <w:t>.</w:t>
      </w:r>
    </w:p>
    <w:p w14:paraId="4F0233D5"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228B646C"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Sin embargo, para la Sala ISAGEN no realizó solo una actividad de comercialización de gas, puesto que esta supondría la compra del producto para su posterior venta a usuarios que no sean finales, circunstancia que no fue probada en este proceso, pues, por el contrario, las pruebas allegadas evidencian que la demandante efectivamente le suministró el gas a DIACO S.A., en su calidad de usuario final.</w:t>
      </w:r>
    </w:p>
    <w:p w14:paraId="5898483E"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65185786"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lang w:val="es-CO" w:eastAsia="es-MX"/>
          <w14:ligatures w14:val="none"/>
        </w:rPr>
        <w:t>Como se expresó en las sentencias que se reiteran, la Sección encuentra «que el artículo 51 de la Ley 383 de 1997, establece como hecho generador del ICA el servicio público domiciliario de distribución de gas destinado al usuario final, norma aplicable al caso concreto», en el que ISAGEN «realizó la venta de gas en desarrollo del contrato celebrado con (…) en su calidad de usuario final»”.(Negrillas de la sala subrayado nuestro)</w:t>
      </w:r>
    </w:p>
    <w:p w14:paraId="71E2AA2F"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1FA7CC9B" w14:textId="77777777" w:rsidR="004A0B51" w:rsidRPr="004A0B51" w:rsidRDefault="004A0B51" w:rsidP="004A0B51">
      <w:pPr>
        <w:jc w:val="both"/>
        <w:rPr>
          <w:rFonts w:ascii="Times New Roman" w:eastAsia="Times New Roman" w:hAnsi="Times New Roman" w:cs="Times New Roman"/>
          <w:kern w:val="0"/>
          <w:highlight w:val="yellow"/>
          <w:lang w:val="es-CO" w:eastAsia="es-MX"/>
          <w14:ligatures w14:val="none"/>
        </w:rPr>
      </w:pPr>
      <w:r w:rsidRPr="004A0B51">
        <w:rPr>
          <w:rFonts w:ascii="Verdana" w:eastAsia="Times New Roman" w:hAnsi="Verdana" w:cs="Times New Roman"/>
          <w:color w:val="000000"/>
          <w:kern w:val="0"/>
          <w:highlight w:val="yellow"/>
          <w:lang w:val="es-CO" w:eastAsia="es-MX"/>
          <w14:ligatures w14:val="none"/>
        </w:rPr>
        <w:t xml:space="preserve">Con base en la jurisprudencia transcrita consideramos que el caso por usted señalado se enmarca en la actividad de prestación de servicio público domiciliario de distribución de gas y no en la actividad de comercialización, por lo que la regla aplicable en materia de territorialidad </w:t>
      </w:r>
      <w:r w:rsidRPr="004A0B51">
        <w:rPr>
          <w:rFonts w:ascii="Verdana" w:eastAsia="Times New Roman" w:hAnsi="Verdana" w:cs="Times New Roman"/>
          <w:color w:val="000000"/>
          <w:kern w:val="0"/>
          <w:highlight w:val="yellow"/>
          <w:lang w:val="es-CO" w:eastAsia="es-MX"/>
          <w14:ligatures w14:val="none"/>
        </w:rPr>
        <w:lastRenderedPageBreak/>
        <w:t>del impuesto de industria y comercio sería la señalada en el artículo 51 de la Ley 383 de 1997, por medio del cual se desarrolla el artículo 24.1 de la Ley 142 de 1994, que señala:</w:t>
      </w:r>
    </w:p>
    <w:p w14:paraId="03610FA2" w14:textId="77777777" w:rsidR="004A0B51" w:rsidRPr="004A0B51" w:rsidRDefault="004A0B51" w:rsidP="004A0B51">
      <w:pPr>
        <w:rPr>
          <w:rFonts w:ascii="Times New Roman" w:eastAsia="Times New Roman" w:hAnsi="Times New Roman" w:cs="Times New Roman"/>
          <w:kern w:val="0"/>
          <w:highlight w:val="yellow"/>
          <w:lang w:val="es-CO" w:eastAsia="es-MX"/>
          <w14:ligatures w14:val="none"/>
        </w:rPr>
      </w:pPr>
    </w:p>
    <w:p w14:paraId="3DA16B9B" w14:textId="77777777" w:rsidR="004A0B51" w:rsidRPr="004A0B51" w:rsidRDefault="004A0B51" w:rsidP="004A0B51">
      <w:pPr>
        <w:ind w:left="567"/>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i/>
          <w:iCs/>
          <w:color w:val="000000"/>
          <w:kern w:val="0"/>
          <w:highlight w:val="yellow"/>
          <w:lang w:val="es-CO" w:eastAsia="es-MX"/>
          <w14:ligatures w14:val="none"/>
        </w:rPr>
        <w:t xml:space="preserve">“Artículo 51. Para efectos del artículo 24-1 de la Ley 142 de 1994, el impuesto de industria y comercio </w:t>
      </w:r>
      <w:r w:rsidRPr="004A0B51">
        <w:rPr>
          <w:rFonts w:ascii="Verdana" w:eastAsia="Times New Roman" w:hAnsi="Verdana" w:cs="Times New Roman"/>
          <w:i/>
          <w:iCs/>
          <w:color w:val="000000"/>
          <w:kern w:val="0"/>
          <w:highlight w:val="yellow"/>
          <w:u w:val="single"/>
          <w:lang w:val="es-CO" w:eastAsia="es-MX"/>
          <w14:ligatures w14:val="none"/>
        </w:rPr>
        <w:t>en la prestación de los servicios públicos domiciliarios se causa en</w:t>
      </w:r>
      <w:r w:rsidRPr="004A0B51">
        <w:rPr>
          <w:rFonts w:ascii="Verdana" w:eastAsia="Times New Roman" w:hAnsi="Verdana" w:cs="Times New Roman"/>
          <w:i/>
          <w:iCs/>
          <w:color w:val="000000"/>
          <w:kern w:val="0"/>
          <w:highlight w:val="yellow"/>
          <w:lang w:val="es-CO" w:eastAsia="es-MX"/>
          <w14:ligatures w14:val="none"/>
        </w:rPr>
        <w:t xml:space="preserve"> </w:t>
      </w:r>
      <w:r w:rsidRPr="004A0B51">
        <w:rPr>
          <w:rFonts w:ascii="Verdana" w:eastAsia="Times New Roman" w:hAnsi="Verdana" w:cs="Times New Roman"/>
          <w:i/>
          <w:iCs/>
          <w:color w:val="000000"/>
          <w:kern w:val="0"/>
          <w:highlight w:val="yellow"/>
          <w:u w:val="single"/>
          <w:lang w:val="es-CO" w:eastAsia="es-MX"/>
          <w14:ligatures w14:val="none"/>
        </w:rPr>
        <w:t>el municipio en donde se preste el servicio al usuario final sobre el valor promedio</w:t>
      </w:r>
      <w:r w:rsidRPr="004A0B51">
        <w:rPr>
          <w:rFonts w:ascii="Verdana" w:eastAsia="Times New Roman" w:hAnsi="Verdana" w:cs="Times New Roman"/>
          <w:i/>
          <w:iCs/>
          <w:color w:val="000000"/>
          <w:kern w:val="0"/>
          <w:highlight w:val="yellow"/>
          <w:lang w:val="es-CO" w:eastAsia="es-MX"/>
          <w14:ligatures w14:val="none"/>
        </w:rPr>
        <w:t xml:space="preserve"> </w:t>
      </w:r>
      <w:r w:rsidRPr="004A0B51">
        <w:rPr>
          <w:rFonts w:ascii="Verdana" w:eastAsia="Times New Roman" w:hAnsi="Verdana" w:cs="Times New Roman"/>
          <w:i/>
          <w:iCs/>
          <w:color w:val="000000"/>
          <w:kern w:val="0"/>
          <w:highlight w:val="yellow"/>
          <w:u w:val="single"/>
          <w:lang w:val="es-CO" w:eastAsia="es-MX"/>
          <w14:ligatures w14:val="none"/>
        </w:rPr>
        <w:t>mensual facturado</w:t>
      </w:r>
      <w:r w:rsidRPr="004A0B51">
        <w:rPr>
          <w:rFonts w:ascii="Verdana" w:eastAsia="Times New Roman" w:hAnsi="Verdana" w:cs="Times New Roman"/>
          <w:i/>
          <w:iCs/>
          <w:color w:val="000000"/>
          <w:kern w:val="0"/>
          <w:highlight w:val="yellow"/>
          <w:lang w:val="es-CO" w:eastAsia="es-MX"/>
          <w14:ligatures w14:val="none"/>
        </w:rPr>
        <w:t xml:space="preserve">. (…)” </w:t>
      </w:r>
      <w:r w:rsidRPr="004A0B51">
        <w:rPr>
          <w:rFonts w:ascii="Verdana" w:eastAsia="Times New Roman" w:hAnsi="Verdana" w:cs="Times New Roman"/>
          <w:color w:val="000000"/>
          <w:kern w:val="0"/>
          <w:highlight w:val="yellow"/>
          <w:lang w:val="es-CO" w:eastAsia="es-MX"/>
          <w14:ligatures w14:val="none"/>
        </w:rPr>
        <w:t>(Énfasis nuestro)</w:t>
      </w:r>
    </w:p>
    <w:p w14:paraId="74A9E429"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34A2E458"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No obstante, reiteramos que la conclusión final dependerá de lo que resulte probado en el caso concreto, de las particularidades que revista la realización de la actividad y de lo que resulte del marco contractual aplicable.</w:t>
      </w:r>
    </w:p>
    <w:p w14:paraId="681EC993"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002802CB"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 xml:space="preserve">Finalmente le informamos que en caso de requerir información adicional puede consultar las respuestas emitidas por este Despacho, las cuales son de público conocimiento y se encuentran a disposición del público en la página web de este Ministerio </w:t>
      </w:r>
      <w:hyperlink r:id="rId6" w:history="1">
        <w:r w:rsidRPr="004A0B51">
          <w:rPr>
            <w:rFonts w:ascii="Verdana" w:eastAsia="Times New Roman" w:hAnsi="Verdana" w:cs="Times New Roman"/>
            <w:color w:val="000000"/>
            <w:kern w:val="0"/>
            <w:u w:val="single"/>
            <w:lang w:val="es-CO" w:eastAsia="es-MX"/>
            <w14:ligatures w14:val="none"/>
          </w:rPr>
          <w:t>www.minhacienda.gov.co</w:t>
        </w:r>
      </w:hyperlink>
      <w:r w:rsidRPr="004A0B51">
        <w:rPr>
          <w:rFonts w:ascii="Verdana" w:eastAsia="Times New Roman" w:hAnsi="Verdana" w:cs="Times New Roman"/>
          <w:color w:val="000000"/>
          <w:kern w:val="0"/>
          <w:lang w:val="es-CO" w:eastAsia="es-MX"/>
          <w14:ligatures w14:val="none"/>
        </w:rPr>
        <w:t xml:space="preserve">, siguiendo la ruta Procesos Misionales / Apoyo Fiscal Territorial / </w:t>
      </w:r>
      <w:hyperlink r:id="rId7" w:history="1">
        <w:r w:rsidRPr="004A0B51">
          <w:rPr>
            <w:rFonts w:ascii="Verdana" w:eastAsia="Times New Roman" w:hAnsi="Verdana" w:cs="Times New Roman"/>
            <w:color w:val="000000"/>
            <w:kern w:val="0"/>
            <w:u w:val="single"/>
            <w:lang w:val="es-CO" w:eastAsia="es-MX"/>
            <w14:ligatures w14:val="none"/>
          </w:rPr>
          <w:t>Conceptos en materia tributaria</w:t>
        </w:r>
      </w:hyperlink>
      <w:r w:rsidRPr="004A0B51">
        <w:rPr>
          <w:rFonts w:ascii="Verdana" w:eastAsia="Times New Roman" w:hAnsi="Verdana" w:cs="Times New Roman"/>
          <w:color w:val="000000"/>
          <w:kern w:val="0"/>
          <w:lang w:val="es-CO" w:eastAsia="es-MX"/>
          <w14:ligatures w14:val="none"/>
        </w:rPr>
        <w:t>.</w:t>
      </w:r>
    </w:p>
    <w:p w14:paraId="19FFD8ED"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0731B1E7"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Cordialmente</w:t>
      </w:r>
    </w:p>
    <w:p w14:paraId="1882966F" w14:textId="77777777" w:rsidR="004A0B51" w:rsidRPr="004A0B51" w:rsidRDefault="004A0B51" w:rsidP="004A0B51">
      <w:pPr>
        <w:spacing w:after="240"/>
        <w:rPr>
          <w:rFonts w:ascii="Times New Roman" w:eastAsia="Times New Roman" w:hAnsi="Times New Roman" w:cs="Times New Roman"/>
          <w:kern w:val="0"/>
          <w:lang w:val="es-CO" w:eastAsia="es-MX"/>
          <w14:ligatures w14:val="none"/>
        </w:rPr>
      </w:pPr>
    </w:p>
    <w:p w14:paraId="64D1F01A" w14:textId="77777777" w:rsidR="004A0B51" w:rsidRPr="004A0B51" w:rsidRDefault="004A0B51" w:rsidP="004A0B51">
      <w:pPr>
        <w:jc w:val="both"/>
        <w:outlineLvl w:val="0"/>
        <w:rPr>
          <w:rFonts w:ascii="Times New Roman" w:eastAsia="Times New Roman" w:hAnsi="Times New Roman" w:cs="Times New Roman"/>
          <w:b/>
          <w:bCs/>
          <w:kern w:val="36"/>
          <w:sz w:val="48"/>
          <w:szCs w:val="48"/>
          <w:lang w:val="es-CO" w:eastAsia="es-MX"/>
          <w14:ligatures w14:val="none"/>
        </w:rPr>
      </w:pPr>
      <w:r w:rsidRPr="004A0B51">
        <w:rPr>
          <w:rFonts w:ascii="Verdana" w:eastAsia="Times New Roman" w:hAnsi="Verdana" w:cs="Times New Roman"/>
          <w:b/>
          <w:bCs/>
          <w:color w:val="000000"/>
          <w:kern w:val="36"/>
          <w:lang w:val="es-CO" w:eastAsia="es-MX"/>
          <w14:ligatures w14:val="none"/>
        </w:rPr>
        <w:t>CLAUDIA HELENA OTÁLORA CRISTANCHO</w:t>
      </w:r>
    </w:p>
    <w:p w14:paraId="64F5084A" w14:textId="77777777" w:rsidR="004A0B51" w:rsidRPr="004A0B51" w:rsidRDefault="004A0B51" w:rsidP="004A0B51">
      <w:pPr>
        <w:jc w:val="both"/>
        <w:rPr>
          <w:rFonts w:ascii="Times New Roman" w:eastAsia="Times New Roman" w:hAnsi="Times New Roman" w:cs="Times New Roman"/>
          <w:kern w:val="0"/>
          <w:lang w:val="es-CO" w:eastAsia="es-MX"/>
          <w14:ligatures w14:val="none"/>
        </w:rPr>
      </w:pPr>
      <w:r w:rsidRPr="004A0B51">
        <w:rPr>
          <w:rFonts w:ascii="Verdana" w:eastAsia="Times New Roman" w:hAnsi="Verdana" w:cs="Times New Roman"/>
          <w:color w:val="000000"/>
          <w:kern w:val="0"/>
          <w:lang w:val="es-CO" w:eastAsia="es-MX"/>
          <w14:ligatures w14:val="none"/>
        </w:rPr>
        <w:t>Subdirectora de Fortalecimiento Institucional Territorial Dirección General de Apoyo Fiscal</w:t>
      </w:r>
    </w:p>
    <w:p w14:paraId="274BF20D" w14:textId="77777777" w:rsidR="004A0B51" w:rsidRPr="004A0B51" w:rsidRDefault="004A0B51" w:rsidP="004A0B51">
      <w:pPr>
        <w:rPr>
          <w:rFonts w:ascii="Times New Roman" w:eastAsia="Times New Roman" w:hAnsi="Times New Roman" w:cs="Times New Roman"/>
          <w:kern w:val="0"/>
          <w:lang w:val="es-CO" w:eastAsia="es-MX"/>
          <w14:ligatures w14:val="none"/>
        </w:rPr>
      </w:pPr>
    </w:p>
    <w:p w14:paraId="7BDCB9C4"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970719"/>
    <w:multiLevelType w:val="multilevel"/>
    <w:tmpl w:val="FE12A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7C3671"/>
    <w:multiLevelType w:val="multilevel"/>
    <w:tmpl w:val="79BE10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C0A5A2D"/>
    <w:multiLevelType w:val="multilevel"/>
    <w:tmpl w:val="86166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66525609">
    <w:abstractNumId w:val="0"/>
  </w:num>
  <w:num w:numId="2" w16cid:durableId="1039010298">
    <w:abstractNumId w:val="1"/>
  </w:num>
  <w:num w:numId="3" w16cid:durableId="892350354">
    <w:abstractNumId w:val="2"/>
    <w:lvlOverride w:ilvl="0">
      <w:lvl w:ilvl="0">
        <w:numFmt w:val="lowerLetter"/>
        <w:lvlText w:val="%1."/>
        <w:lvlJc w:val="left"/>
      </w:lvl>
    </w:lvlOverride>
  </w:num>
  <w:num w:numId="4" w16cid:durableId="1655916722">
    <w:abstractNumId w:val="2"/>
    <w:lvlOverride w:ilvl="0">
      <w:lvl w:ilvl="0">
        <w:numFmt w:val="lowerLetter"/>
        <w:lvlText w:val="%1."/>
        <w:lvlJc w:val="left"/>
      </w:lvl>
    </w:lvlOverride>
  </w:num>
  <w:num w:numId="5" w16cid:durableId="1815373161">
    <w:abstractNumId w:val="2"/>
    <w:lvlOverride w:ilvl="0">
      <w:lvl w:ilvl="0">
        <w:numFmt w:val="lowerLetter"/>
        <w:lvlText w:val="%1."/>
        <w:lvlJc w:val="left"/>
      </w:lvl>
    </w:lvlOverride>
  </w:num>
  <w:num w:numId="6" w16cid:durableId="1601765925">
    <w:abstractNumId w:val="2"/>
    <w:lvlOverride w:ilvl="0">
      <w:lvl w:ilvl="0">
        <w:numFmt w:val="lowerLetter"/>
        <w:lvlText w:val="%1."/>
        <w:lvlJc w:val="left"/>
      </w:lvl>
    </w:lvlOverride>
  </w:num>
  <w:num w:numId="7" w16cid:durableId="232350616">
    <w:abstractNumId w:val="2"/>
    <w:lvlOverride w:ilvl="0">
      <w:lvl w:ilvl="0">
        <w:numFmt w:val="lowerLetter"/>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B51"/>
    <w:rsid w:val="000B2285"/>
    <w:rsid w:val="004A0B51"/>
    <w:rsid w:val="00537D8F"/>
    <w:rsid w:val="00956539"/>
    <w:rsid w:val="00B83A7B"/>
    <w:rsid w:val="00D967E4"/>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16AA641"/>
  <w14:defaultImageDpi w14:val="32767"/>
  <w15:chartTrackingRefBased/>
  <w15:docId w15:val="{C6352D92-C9B1-EA45-8302-F3DA6E831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A0B5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A0B5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A0B5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A0B5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A0B5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A0B51"/>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A0B5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A0B5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A0B5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A0B5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A0B5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A0B5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A0B5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A0B5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A0B5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A0B5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A0B5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A0B51"/>
    <w:rPr>
      <w:rFonts w:eastAsiaTheme="majorEastAsia" w:cstheme="majorBidi"/>
      <w:color w:val="272727" w:themeColor="text1" w:themeTint="D8"/>
    </w:rPr>
  </w:style>
  <w:style w:type="paragraph" w:styleId="Ttulo">
    <w:name w:val="Title"/>
    <w:basedOn w:val="Normal"/>
    <w:next w:val="Normal"/>
    <w:link w:val="TtuloCar"/>
    <w:uiPriority w:val="10"/>
    <w:qFormat/>
    <w:rsid w:val="004A0B51"/>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A0B5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A0B51"/>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A0B5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A0B51"/>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A0B51"/>
    <w:rPr>
      <w:i/>
      <w:iCs/>
      <w:color w:val="404040" w:themeColor="text1" w:themeTint="BF"/>
    </w:rPr>
  </w:style>
  <w:style w:type="paragraph" w:styleId="Prrafodelista">
    <w:name w:val="List Paragraph"/>
    <w:basedOn w:val="Normal"/>
    <w:uiPriority w:val="34"/>
    <w:qFormat/>
    <w:rsid w:val="004A0B51"/>
    <w:pPr>
      <w:ind w:left="720"/>
      <w:contextualSpacing/>
    </w:pPr>
  </w:style>
  <w:style w:type="character" w:styleId="nfasisintenso">
    <w:name w:val="Intense Emphasis"/>
    <w:basedOn w:val="Fuentedeprrafopredeter"/>
    <w:uiPriority w:val="21"/>
    <w:qFormat/>
    <w:rsid w:val="004A0B51"/>
    <w:rPr>
      <w:i/>
      <w:iCs/>
      <w:color w:val="2F5496" w:themeColor="accent1" w:themeShade="BF"/>
    </w:rPr>
  </w:style>
  <w:style w:type="paragraph" w:styleId="Citadestacada">
    <w:name w:val="Intense Quote"/>
    <w:basedOn w:val="Normal"/>
    <w:next w:val="Normal"/>
    <w:link w:val="CitadestacadaCar"/>
    <w:uiPriority w:val="30"/>
    <w:qFormat/>
    <w:rsid w:val="004A0B5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A0B51"/>
    <w:rPr>
      <w:i/>
      <w:iCs/>
      <w:color w:val="2F5496" w:themeColor="accent1" w:themeShade="BF"/>
    </w:rPr>
  </w:style>
  <w:style w:type="character" w:styleId="Referenciaintensa">
    <w:name w:val="Intense Reference"/>
    <w:basedOn w:val="Fuentedeprrafopredeter"/>
    <w:uiPriority w:val="32"/>
    <w:qFormat/>
    <w:rsid w:val="004A0B51"/>
    <w:rPr>
      <w:b/>
      <w:bCs/>
      <w:smallCaps/>
      <w:color w:val="2F5496" w:themeColor="accent1" w:themeShade="BF"/>
      <w:spacing w:val="5"/>
    </w:rPr>
  </w:style>
  <w:style w:type="paragraph" w:styleId="NormalWeb">
    <w:name w:val="Normal (Web)"/>
    <w:basedOn w:val="Normal"/>
    <w:uiPriority w:val="99"/>
    <w:semiHidden/>
    <w:unhideWhenUsed/>
    <w:rsid w:val="004A0B51"/>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4A0B51"/>
    <w:rPr>
      <w:color w:val="0000FF"/>
      <w:u w:val="single"/>
    </w:rPr>
  </w:style>
  <w:style w:type="character" w:customStyle="1" w:styleId="apple-tab-span">
    <w:name w:val="apple-tab-span"/>
    <w:basedOn w:val="Fuentedeprrafopredeter"/>
    <w:rsid w:val="004A0B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inhacienda.gov.co/apoyo-fiscal-territorial/asesorias-y-conceptos-en-materia-tributar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nhacienda.gov.co/" TargetMode="External"/><Relationship Id="rId5" Type="http://schemas.openxmlformats.org/officeDocument/2006/relationships/hyperlink" Target="mailto:ccg-tributario@hklaw.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2705</Words>
  <Characters>14099</Characters>
  <Application>Microsoft Office Word</Application>
  <DocSecurity>0</DocSecurity>
  <Lines>327</Lines>
  <Paragraphs>82</Paragraphs>
  <ScaleCrop>false</ScaleCrop>
  <Company/>
  <LinksUpToDate>false</LinksUpToDate>
  <CharactersWithSpaces>16722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2025-10-30T15:06:00Z</dcterms:created>
  <dcterms:modified xsi:type="dcterms:W3CDTF">2025-10-30T15:08:00Z</dcterms:modified>
</cp:coreProperties>
</file>