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A4A20"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b/>
          <w:bCs/>
          <w:color w:val="000000"/>
          <w:kern w:val="0"/>
          <w:lang w:val="es-CO" w:eastAsia="es-MX"/>
          <w14:ligatures w14:val="none"/>
        </w:rPr>
        <w:t>CONCEPTO DIAN 1144 DEL 29 DE JULIO DE 2025</w:t>
      </w:r>
    </w:p>
    <w:p w14:paraId="020A6693"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b/>
          <w:bCs/>
          <w:color w:val="000000"/>
          <w:kern w:val="0"/>
          <w:lang w:val="es-CO" w:eastAsia="es-MX"/>
          <w14:ligatures w14:val="none"/>
        </w:rPr>
        <w:t>DIRECCIÓN DE IMPUESTOS Y ADUANAS NACIONALES</w:t>
      </w:r>
    </w:p>
    <w:p w14:paraId="640DCAAD" w14:textId="77777777" w:rsidR="006A50D8" w:rsidRPr="006A50D8" w:rsidRDefault="006A50D8" w:rsidP="006A50D8">
      <w:pPr>
        <w:rPr>
          <w:rFonts w:ascii="Times New Roman" w:eastAsia="Times New Roman" w:hAnsi="Times New Roman" w:cs="Times New Roman"/>
          <w:kern w:val="0"/>
          <w:lang w:val="es-CO" w:eastAsia="es-MX"/>
          <w14:ligatures w14:val="none"/>
        </w:rPr>
      </w:pPr>
    </w:p>
    <w:p w14:paraId="00252E50"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Bogotá D.C., 29 de julio de 2025</w:t>
      </w:r>
    </w:p>
    <w:p w14:paraId="2D6E66EA" w14:textId="77777777" w:rsidR="006A50D8" w:rsidRPr="006A50D8" w:rsidRDefault="006A50D8" w:rsidP="006A50D8">
      <w:pPr>
        <w:rPr>
          <w:rFonts w:ascii="Times New Roman" w:eastAsia="Times New Roman" w:hAnsi="Times New Roman" w:cs="Times New Roman"/>
          <w:kern w:val="0"/>
          <w:lang w:val="es-CO" w:eastAsia="es-MX"/>
          <w14:ligatures w14:val="none"/>
        </w:rPr>
      </w:pPr>
    </w:p>
    <w:p w14:paraId="7F6EED28" w14:textId="77777777" w:rsidR="006A50D8" w:rsidRPr="006A50D8" w:rsidRDefault="006A50D8" w:rsidP="006A50D8">
      <w:pPr>
        <w:ind w:hanging="2410"/>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Tema:</w:t>
      </w:r>
      <w:r w:rsidRPr="006A50D8">
        <w:rPr>
          <w:rFonts w:ascii="Verdana" w:eastAsia="Times New Roman" w:hAnsi="Verdana" w:cs="Times New Roman"/>
          <w:color w:val="000000"/>
          <w:kern w:val="0"/>
          <w:lang w:val="es-CO" w:eastAsia="es-MX"/>
          <w14:ligatures w14:val="none"/>
        </w:rPr>
        <w:tab/>
        <w:t>Información exógena tributaria</w:t>
      </w:r>
    </w:p>
    <w:p w14:paraId="5D8D1110"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Descriptores:</w:t>
      </w:r>
      <w:r w:rsidRPr="006A50D8">
        <w:rPr>
          <w:rFonts w:ascii="Verdana" w:eastAsia="Times New Roman" w:hAnsi="Verdana" w:cs="Times New Roman"/>
          <w:color w:val="000000"/>
          <w:kern w:val="0"/>
          <w:lang w:val="es-CO" w:eastAsia="es-MX"/>
          <w14:ligatures w14:val="none"/>
        </w:rPr>
        <w:tab/>
        <w:t>Valor patrimonial de otros activos</w:t>
      </w:r>
    </w:p>
    <w:p w14:paraId="07D4847C" w14:textId="0ACC72F7" w:rsidR="006A50D8" w:rsidRPr="006A50D8" w:rsidRDefault="006A50D8" w:rsidP="006A50D8">
      <w:pPr>
        <w:ind w:left="1416" w:firstLine="708"/>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Inversiones</w:t>
      </w:r>
    </w:p>
    <w:p w14:paraId="7EEB2B36" w14:textId="77777777" w:rsidR="006A50D8" w:rsidRPr="006A50D8" w:rsidRDefault="006A50D8" w:rsidP="006A50D8">
      <w:pPr>
        <w:ind w:hanging="2410"/>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ab/>
        <w:t>Cuentas</w:t>
      </w:r>
    </w:p>
    <w:p w14:paraId="1EE5B03A"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Fuentes formales:</w:t>
      </w:r>
      <w:r w:rsidRPr="006A50D8">
        <w:rPr>
          <w:rFonts w:ascii="Verdana" w:eastAsia="Times New Roman" w:hAnsi="Verdana" w:cs="Times New Roman"/>
          <w:color w:val="000000"/>
          <w:kern w:val="0"/>
          <w:lang w:val="es-CO" w:eastAsia="es-MX"/>
          <w14:ligatures w14:val="none"/>
        </w:rPr>
        <w:tab/>
        <w:t>Artículos 29, 30 y 32 de la Resolución No. 000162 de 2023</w:t>
      </w:r>
    </w:p>
    <w:p w14:paraId="6CA6736A" w14:textId="77777777" w:rsidR="006A50D8" w:rsidRPr="006A50D8" w:rsidRDefault="006A50D8" w:rsidP="006A50D8">
      <w:pPr>
        <w:rPr>
          <w:rFonts w:ascii="Times New Roman" w:eastAsia="Times New Roman" w:hAnsi="Times New Roman" w:cs="Times New Roman"/>
          <w:kern w:val="0"/>
          <w:lang w:val="es-CO" w:eastAsia="es-MX"/>
          <w14:ligatures w14:val="none"/>
        </w:rPr>
      </w:pPr>
    </w:p>
    <w:p w14:paraId="48A69B40"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Cordial saludo</w:t>
      </w:r>
    </w:p>
    <w:p w14:paraId="3A9EB5C0" w14:textId="77777777" w:rsidR="006A50D8" w:rsidRPr="006A50D8" w:rsidRDefault="006A50D8" w:rsidP="006A50D8">
      <w:pPr>
        <w:rPr>
          <w:rFonts w:ascii="Times New Roman" w:eastAsia="Times New Roman" w:hAnsi="Times New Roman" w:cs="Times New Roman"/>
          <w:kern w:val="0"/>
          <w:lang w:val="es-CO" w:eastAsia="es-MX"/>
          <w14:ligatures w14:val="none"/>
        </w:rPr>
      </w:pPr>
      <w:r w:rsidRPr="006A50D8">
        <w:rPr>
          <w:rFonts w:ascii="Times New Roman" w:eastAsia="Times New Roman" w:hAnsi="Times New Roman" w:cs="Times New Roman"/>
          <w:kern w:val="0"/>
          <w:lang w:val="es-CO" w:eastAsia="es-MX"/>
          <w14:ligatures w14:val="none"/>
        </w:rPr>
        <w:br/>
      </w:r>
    </w:p>
    <w:p w14:paraId="75AF55DF" w14:textId="77777777" w:rsidR="006A50D8" w:rsidRPr="006A50D8" w:rsidRDefault="006A50D8" w:rsidP="006A50D8">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6A50D8">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w:t>
      </w:r>
      <w:r w:rsidRPr="006A50D8">
        <w:rPr>
          <w:rFonts w:ascii="Verdana" w:eastAsia="Times New Roman" w:hAnsi="Verdana" w:cs="Times New Roman"/>
          <w:color w:val="000000"/>
          <w:kern w:val="0"/>
          <w:sz w:val="14"/>
          <w:szCs w:val="14"/>
          <w:vertAlign w:val="superscript"/>
          <w:lang w:val="es-CO" w:eastAsia="es-MX"/>
          <w14:ligatures w14:val="none"/>
        </w:rPr>
        <w:t>1</w:t>
      </w:r>
      <w:r w:rsidRPr="006A50D8">
        <w:rPr>
          <w:rFonts w:ascii="Verdana" w:eastAsia="Times New Roman" w:hAnsi="Verdana" w:cs="Times New Roman"/>
          <w:color w:val="000000"/>
          <w:kern w:val="0"/>
          <w:lang w:val="es-CO" w:eastAsia="es-MX"/>
          <w14:ligatures w14:val="none"/>
        </w:rPr>
        <w:t>. En este sentido, la doctrina emitida será de carácter general, no se referirá a asuntos particulares y se someterá a lo consagrado en el artículo 131 de la Ley 2010 de 2019</w:t>
      </w:r>
      <w:r w:rsidRPr="006A50D8">
        <w:rPr>
          <w:rFonts w:ascii="Verdana" w:eastAsia="Times New Roman" w:hAnsi="Verdana" w:cs="Times New Roman"/>
          <w:color w:val="000000"/>
          <w:kern w:val="0"/>
          <w:sz w:val="14"/>
          <w:szCs w:val="14"/>
          <w:vertAlign w:val="superscript"/>
          <w:lang w:val="es-CO" w:eastAsia="es-MX"/>
          <w14:ligatures w14:val="none"/>
        </w:rPr>
        <w:t>2</w:t>
      </w:r>
      <w:r w:rsidRPr="006A50D8">
        <w:rPr>
          <w:rFonts w:ascii="Verdana" w:eastAsia="Times New Roman" w:hAnsi="Verdana" w:cs="Times New Roman"/>
          <w:color w:val="000000"/>
          <w:kern w:val="0"/>
          <w:lang w:val="es-CO" w:eastAsia="es-MX"/>
          <w14:ligatures w14:val="none"/>
        </w:rPr>
        <w:t>.</w:t>
      </w:r>
    </w:p>
    <w:p w14:paraId="627E4505" w14:textId="77777777" w:rsidR="006A50D8" w:rsidRPr="006A50D8" w:rsidRDefault="006A50D8" w:rsidP="006A50D8">
      <w:pPr>
        <w:rPr>
          <w:rFonts w:ascii="Times New Roman" w:eastAsia="Times New Roman" w:hAnsi="Times New Roman" w:cs="Times New Roman"/>
          <w:kern w:val="0"/>
          <w:lang w:val="es-CO" w:eastAsia="es-MX"/>
          <w14:ligatures w14:val="none"/>
        </w:rPr>
      </w:pPr>
      <w:r w:rsidRPr="006A50D8">
        <w:rPr>
          <w:rFonts w:ascii="Times New Roman" w:eastAsia="Times New Roman" w:hAnsi="Times New Roman" w:cs="Times New Roman"/>
          <w:kern w:val="0"/>
          <w:lang w:val="es-CO" w:eastAsia="es-MX"/>
          <w14:ligatures w14:val="none"/>
        </w:rPr>
        <w:br/>
      </w:r>
    </w:p>
    <w:p w14:paraId="212AB825" w14:textId="77777777" w:rsidR="006A50D8" w:rsidRPr="006A50D8" w:rsidRDefault="006A50D8" w:rsidP="006A50D8">
      <w:pPr>
        <w:numPr>
          <w:ilvl w:val="0"/>
          <w:numId w:val="2"/>
        </w:numPr>
        <w:jc w:val="both"/>
        <w:textAlignment w:val="baseline"/>
        <w:rPr>
          <w:rFonts w:ascii="Verdana" w:eastAsia="Times New Roman" w:hAnsi="Verdana" w:cs="Times New Roman"/>
          <w:color w:val="000000"/>
          <w:kern w:val="0"/>
          <w:lang w:val="es-CO" w:eastAsia="es-MX"/>
          <w14:ligatures w14:val="none"/>
        </w:rPr>
      </w:pPr>
      <w:r w:rsidRPr="006A50D8">
        <w:rPr>
          <w:rFonts w:ascii="Verdana" w:eastAsia="Times New Roman" w:hAnsi="Verdana" w:cs="Times New Roman"/>
          <w:color w:val="000000"/>
          <w:kern w:val="0"/>
          <w:lang w:val="es-CO" w:eastAsia="es-MX"/>
          <w14:ligatures w14:val="none"/>
        </w:rPr>
        <w:t>Se eleva consulta en relación con la aplicabilidad del artículo 32 de la Resolución DIAN No. 000162 de 2023, específicamente en lo que concierne al concepto 1526, denominado "Valor patrimonial de otros activos" y se pregunta en que formato debe ser reportado teniendo en cuenta los distintos escenarios hipotéticos planteados.</w:t>
      </w:r>
    </w:p>
    <w:p w14:paraId="7EE7296C" w14:textId="77777777" w:rsidR="006A50D8" w:rsidRPr="006A50D8" w:rsidRDefault="006A50D8" w:rsidP="006A50D8">
      <w:pPr>
        <w:rPr>
          <w:rFonts w:ascii="Times New Roman" w:eastAsia="Times New Roman" w:hAnsi="Times New Roman" w:cs="Times New Roman"/>
          <w:kern w:val="0"/>
          <w:lang w:val="es-CO" w:eastAsia="es-MX"/>
          <w14:ligatures w14:val="none"/>
        </w:rPr>
      </w:pPr>
    </w:p>
    <w:p w14:paraId="052D071A"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Al respecto se considera:</w:t>
      </w:r>
    </w:p>
    <w:p w14:paraId="2B763575" w14:textId="77777777" w:rsidR="006A50D8" w:rsidRPr="006A50D8" w:rsidRDefault="006A50D8" w:rsidP="006A50D8">
      <w:pPr>
        <w:rPr>
          <w:rFonts w:ascii="Times New Roman" w:eastAsia="Times New Roman" w:hAnsi="Times New Roman" w:cs="Times New Roman"/>
          <w:kern w:val="0"/>
          <w:lang w:val="es-CO" w:eastAsia="es-MX"/>
          <w14:ligatures w14:val="none"/>
        </w:rPr>
      </w:pPr>
      <w:r w:rsidRPr="006A50D8">
        <w:rPr>
          <w:rFonts w:ascii="Times New Roman" w:eastAsia="Times New Roman" w:hAnsi="Times New Roman" w:cs="Times New Roman"/>
          <w:kern w:val="0"/>
          <w:lang w:val="es-CO" w:eastAsia="es-MX"/>
          <w14:ligatures w14:val="none"/>
        </w:rPr>
        <w:br/>
      </w:r>
    </w:p>
    <w:p w14:paraId="70ED8824" w14:textId="77777777" w:rsidR="006A50D8" w:rsidRPr="006A50D8" w:rsidRDefault="006A50D8" w:rsidP="006A50D8">
      <w:pPr>
        <w:numPr>
          <w:ilvl w:val="0"/>
          <w:numId w:val="3"/>
        </w:numPr>
        <w:jc w:val="both"/>
        <w:textAlignment w:val="baseline"/>
        <w:rPr>
          <w:rFonts w:ascii="Verdana" w:eastAsia="Times New Roman" w:hAnsi="Verdana" w:cs="Times New Roman"/>
          <w:color w:val="000000"/>
          <w:kern w:val="0"/>
          <w:lang w:val="es-CO" w:eastAsia="es-MX"/>
          <w14:ligatures w14:val="none"/>
        </w:rPr>
      </w:pPr>
      <w:r w:rsidRPr="006A50D8">
        <w:rPr>
          <w:rFonts w:ascii="Verdana" w:eastAsia="Times New Roman" w:hAnsi="Verdana" w:cs="Times New Roman"/>
          <w:color w:val="000000"/>
          <w:kern w:val="0"/>
          <w:lang w:val="es-CO" w:eastAsia="es-MX"/>
          <w14:ligatures w14:val="none"/>
        </w:rPr>
        <w:t>Es preciso aclarar previamente que la competencia de esta dependencia se circunscribe a la interpretación en abstracto de las normas tributarias, aduaneras y cambiarias, más no a la asesoría particular sobre el correcto diligenciamiento de los formatos a disposición de los contribuyentes y/o responsables.</w:t>
      </w:r>
    </w:p>
    <w:p w14:paraId="638CC796" w14:textId="77777777" w:rsidR="006A50D8" w:rsidRPr="006A50D8" w:rsidRDefault="006A50D8" w:rsidP="006A50D8">
      <w:pPr>
        <w:rPr>
          <w:rFonts w:ascii="Times New Roman" w:eastAsia="Times New Roman" w:hAnsi="Times New Roman" w:cs="Times New Roman"/>
          <w:kern w:val="0"/>
          <w:lang w:val="es-CO" w:eastAsia="es-MX"/>
          <w14:ligatures w14:val="none"/>
        </w:rPr>
      </w:pPr>
      <w:r w:rsidRPr="006A50D8">
        <w:rPr>
          <w:rFonts w:ascii="Times New Roman" w:eastAsia="Times New Roman" w:hAnsi="Times New Roman" w:cs="Times New Roman"/>
          <w:kern w:val="0"/>
          <w:lang w:val="es-CO" w:eastAsia="es-MX"/>
          <w14:ligatures w14:val="none"/>
        </w:rPr>
        <w:br/>
      </w:r>
    </w:p>
    <w:p w14:paraId="2AD19EBC" w14:textId="77777777" w:rsidR="006A50D8" w:rsidRPr="006A50D8" w:rsidRDefault="006A50D8" w:rsidP="006A50D8">
      <w:pPr>
        <w:numPr>
          <w:ilvl w:val="0"/>
          <w:numId w:val="4"/>
        </w:numPr>
        <w:jc w:val="both"/>
        <w:textAlignment w:val="baseline"/>
        <w:rPr>
          <w:rFonts w:ascii="Verdana" w:eastAsia="Times New Roman" w:hAnsi="Verdana" w:cs="Times New Roman"/>
          <w:color w:val="000000"/>
          <w:kern w:val="0"/>
          <w:lang w:val="es-CO" w:eastAsia="es-MX"/>
          <w14:ligatures w14:val="none"/>
        </w:rPr>
      </w:pPr>
      <w:r w:rsidRPr="006A50D8">
        <w:rPr>
          <w:rFonts w:ascii="Verdana" w:eastAsia="Times New Roman" w:hAnsi="Verdana" w:cs="Times New Roman"/>
          <w:color w:val="000000"/>
          <w:kern w:val="0"/>
          <w:lang w:val="es-CO" w:eastAsia="es-MX"/>
          <w14:ligatures w14:val="none"/>
        </w:rPr>
        <w:t>El artículo 32 de la Resolución 000162 de 2023 establece el grupo de obligados que debe suministrar el valor patrimonial al 31 de diciembre del patrimonio bruto representado en propiedad, planta y equipo y otros activos, así como los conceptos que deben utilizar según la clase de activo del que se trate.</w:t>
      </w:r>
    </w:p>
    <w:p w14:paraId="46C35296" w14:textId="77777777" w:rsidR="006A50D8" w:rsidRPr="006A50D8" w:rsidRDefault="006A50D8" w:rsidP="006A50D8">
      <w:pPr>
        <w:rPr>
          <w:rFonts w:ascii="Times New Roman" w:eastAsia="Times New Roman" w:hAnsi="Times New Roman" w:cs="Times New Roman"/>
          <w:kern w:val="0"/>
          <w:lang w:val="es-CO" w:eastAsia="es-MX"/>
          <w14:ligatures w14:val="none"/>
        </w:rPr>
      </w:pPr>
      <w:r w:rsidRPr="006A50D8">
        <w:rPr>
          <w:rFonts w:ascii="Times New Roman" w:eastAsia="Times New Roman" w:hAnsi="Times New Roman" w:cs="Times New Roman"/>
          <w:kern w:val="0"/>
          <w:lang w:val="es-CO" w:eastAsia="es-MX"/>
          <w14:ligatures w14:val="none"/>
        </w:rPr>
        <w:lastRenderedPageBreak/>
        <w:br/>
      </w:r>
    </w:p>
    <w:p w14:paraId="4E44187C" w14:textId="77777777" w:rsidR="006A50D8" w:rsidRPr="006A50D8" w:rsidRDefault="006A50D8" w:rsidP="006A50D8">
      <w:pPr>
        <w:numPr>
          <w:ilvl w:val="0"/>
          <w:numId w:val="5"/>
        </w:numPr>
        <w:jc w:val="both"/>
        <w:textAlignment w:val="baseline"/>
        <w:rPr>
          <w:rFonts w:ascii="Verdana" w:eastAsia="Times New Roman" w:hAnsi="Verdana" w:cs="Times New Roman"/>
          <w:color w:val="000000"/>
          <w:kern w:val="0"/>
          <w:lang w:val="es-CO" w:eastAsia="es-MX"/>
          <w14:ligatures w14:val="none"/>
        </w:rPr>
      </w:pPr>
      <w:r w:rsidRPr="006A50D8">
        <w:rPr>
          <w:rFonts w:ascii="Verdana" w:eastAsia="Times New Roman" w:hAnsi="Verdana" w:cs="Times New Roman"/>
          <w:color w:val="000000"/>
          <w:kern w:val="0"/>
          <w:lang w:val="es-CO" w:eastAsia="es-MX"/>
          <w14:ligatures w14:val="none"/>
        </w:rPr>
        <w:t>Al revisar los ítems y descripción de los conceptos allí relacionados, se observa que de manera específica desde el ítem 1 al 11 se relaciona las diferentes clases de activos junto con el concepto correspondiente.</w:t>
      </w:r>
    </w:p>
    <w:p w14:paraId="256C3EA4" w14:textId="77777777" w:rsidR="006A50D8" w:rsidRPr="006A50D8" w:rsidRDefault="006A50D8" w:rsidP="006A50D8">
      <w:pPr>
        <w:rPr>
          <w:rFonts w:ascii="Times New Roman" w:eastAsia="Times New Roman" w:hAnsi="Times New Roman" w:cs="Times New Roman"/>
          <w:kern w:val="0"/>
          <w:lang w:val="es-CO" w:eastAsia="es-MX"/>
          <w14:ligatures w14:val="none"/>
        </w:rPr>
      </w:pPr>
      <w:r w:rsidRPr="006A50D8">
        <w:rPr>
          <w:rFonts w:ascii="Times New Roman" w:eastAsia="Times New Roman" w:hAnsi="Times New Roman" w:cs="Times New Roman"/>
          <w:kern w:val="0"/>
          <w:lang w:val="es-CO" w:eastAsia="es-MX"/>
          <w14:ligatures w14:val="none"/>
        </w:rPr>
        <w:br/>
      </w:r>
    </w:p>
    <w:p w14:paraId="44ABDB24" w14:textId="77777777" w:rsidR="006A50D8" w:rsidRPr="006A50D8" w:rsidRDefault="006A50D8" w:rsidP="006A50D8">
      <w:pPr>
        <w:numPr>
          <w:ilvl w:val="0"/>
          <w:numId w:val="6"/>
        </w:numPr>
        <w:jc w:val="both"/>
        <w:textAlignment w:val="baseline"/>
        <w:rPr>
          <w:rFonts w:ascii="Verdana" w:eastAsia="Times New Roman" w:hAnsi="Verdana" w:cs="Times New Roman"/>
          <w:color w:val="000000"/>
          <w:kern w:val="0"/>
          <w:lang w:val="es-CO" w:eastAsia="es-MX"/>
          <w14:ligatures w14:val="none"/>
        </w:rPr>
      </w:pPr>
      <w:r w:rsidRPr="006A50D8">
        <w:rPr>
          <w:rFonts w:ascii="Verdana" w:eastAsia="Times New Roman" w:hAnsi="Verdana" w:cs="Times New Roman"/>
          <w:color w:val="000000"/>
          <w:kern w:val="0"/>
          <w:lang w:val="es-CO" w:eastAsia="es-MX"/>
          <w14:ligatures w14:val="none"/>
        </w:rPr>
        <w:t xml:space="preserve">Sin embargo, en el ítem 12 se evidencia que este alude de manera general al </w:t>
      </w:r>
      <w:r w:rsidRPr="006A50D8">
        <w:rPr>
          <w:rFonts w:ascii="Verdana" w:eastAsia="Times New Roman" w:hAnsi="Verdana" w:cs="Times New Roman"/>
          <w:i/>
          <w:iCs/>
          <w:color w:val="000000"/>
          <w:kern w:val="0"/>
          <w:lang w:val="es-CO" w:eastAsia="es-MX"/>
          <w14:ligatures w14:val="none"/>
        </w:rPr>
        <w:t xml:space="preserve">“Valor patrimonial de otros activos. (No relacionados en los artículos 29 y 30 de la presente resolución y en los conceptos de este artículo).” </w:t>
      </w:r>
      <w:r w:rsidRPr="006A50D8">
        <w:rPr>
          <w:rFonts w:ascii="Verdana" w:eastAsia="Times New Roman" w:hAnsi="Verdana" w:cs="Times New Roman"/>
          <w:color w:val="000000"/>
          <w:kern w:val="0"/>
          <w:lang w:val="es-CO" w:eastAsia="es-MX"/>
          <w14:ligatures w14:val="none"/>
        </w:rPr>
        <w:t>y para el efecto señala como concepto el 1526.</w:t>
      </w:r>
    </w:p>
    <w:p w14:paraId="1002CB73" w14:textId="77777777" w:rsidR="006A50D8" w:rsidRPr="006A50D8" w:rsidRDefault="006A50D8" w:rsidP="006A50D8">
      <w:pPr>
        <w:rPr>
          <w:rFonts w:ascii="Times New Roman" w:eastAsia="Times New Roman" w:hAnsi="Times New Roman" w:cs="Times New Roman"/>
          <w:kern w:val="0"/>
          <w:lang w:val="es-CO" w:eastAsia="es-MX"/>
          <w14:ligatures w14:val="none"/>
        </w:rPr>
      </w:pPr>
      <w:r w:rsidRPr="006A50D8">
        <w:rPr>
          <w:rFonts w:ascii="Times New Roman" w:eastAsia="Times New Roman" w:hAnsi="Times New Roman" w:cs="Times New Roman"/>
          <w:kern w:val="0"/>
          <w:lang w:val="es-CO" w:eastAsia="es-MX"/>
          <w14:ligatures w14:val="none"/>
        </w:rPr>
        <w:br/>
      </w:r>
    </w:p>
    <w:p w14:paraId="5643A64F" w14:textId="77777777" w:rsidR="006A50D8" w:rsidRPr="006A50D8" w:rsidRDefault="006A50D8" w:rsidP="006A50D8">
      <w:pPr>
        <w:numPr>
          <w:ilvl w:val="0"/>
          <w:numId w:val="7"/>
        </w:numPr>
        <w:jc w:val="both"/>
        <w:textAlignment w:val="baseline"/>
        <w:rPr>
          <w:rFonts w:ascii="Verdana" w:eastAsia="Times New Roman" w:hAnsi="Verdana" w:cs="Times New Roman"/>
          <w:color w:val="000000"/>
          <w:kern w:val="0"/>
          <w:lang w:val="es-CO" w:eastAsia="es-MX"/>
          <w14:ligatures w14:val="none"/>
        </w:rPr>
      </w:pPr>
      <w:r w:rsidRPr="006A50D8">
        <w:rPr>
          <w:rFonts w:ascii="Verdana" w:eastAsia="Times New Roman" w:hAnsi="Verdana" w:cs="Times New Roman"/>
          <w:color w:val="000000"/>
          <w:kern w:val="0"/>
          <w:lang w:val="es-CO" w:eastAsia="es-MX"/>
          <w14:ligatures w14:val="none"/>
        </w:rPr>
        <w:t>Nótese que si bien el artículo 32 establece que en el concepto 1526 se debe incluir otros activos excluye los relacionados en los artículos 29 y 30 de la Resolución 000162 de 2023, es decir, saldos en cuenta e inversiones.</w:t>
      </w:r>
    </w:p>
    <w:p w14:paraId="7C5012FE" w14:textId="77777777" w:rsidR="006A50D8" w:rsidRPr="006A50D8" w:rsidRDefault="006A50D8" w:rsidP="006A50D8">
      <w:pPr>
        <w:rPr>
          <w:rFonts w:ascii="Times New Roman" w:eastAsia="Times New Roman" w:hAnsi="Times New Roman" w:cs="Times New Roman"/>
          <w:kern w:val="0"/>
          <w:lang w:val="es-CO" w:eastAsia="es-MX"/>
          <w14:ligatures w14:val="none"/>
        </w:rPr>
      </w:pPr>
      <w:r w:rsidRPr="006A50D8">
        <w:rPr>
          <w:rFonts w:ascii="Times New Roman" w:eastAsia="Times New Roman" w:hAnsi="Times New Roman" w:cs="Times New Roman"/>
          <w:kern w:val="0"/>
          <w:lang w:val="es-CO" w:eastAsia="es-MX"/>
          <w14:ligatures w14:val="none"/>
        </w:rPr>
        <w:br/>
      </w:r>
    </w:p>
    <w:p w14:paraId="26F58280" w14:textId="77777777" w:rsidR="006A50D8" w:rsidRPr="006A50D8" w:rsidRDefault="006A50D8" w:rsidP="006A50D8">
      <w:pPr>
        <w:numPr>
          <w:ilvl w:val="0"/>
          <w:numId w:val="8"/>
        </w:numPr>
        <w:jc w:val="both"/>
        <w:textAlignment w:val="baseline"/>
        <w:rPr>
          <w:rFonts w:ascii="Verdana" w:eastAsia="Times New Roman" w:hAnsi="Verdana" w:cs="Times New Roman"/>
          <w:color w:val="000000"/>
          <w:kern w:val="0"/>
          <w:lang w:val="es-CO" w:eastAsia="es-MX"/>
          <w14:ligatures w14:val="none"/>
        </w:rPr>
      </w:pPr>
      <w:r w:rsidRPr="006A50D8">
        <w:rPr>
          <w:rFonts w:ascii="Verdana" w:eastAsia="Times New Roman" w:hAnsi="Verdana" w:cs="Times New Roman"/>
          <w:color w:val="000000"/>
          <w:kern w:val="0"/>
          <w:lang w:val="es-CO" w:eastAsia="es-MX"/>
          <w14:ligatures w14:val="none"/>
        </w:rPr>
        <w:t>En este sentido, cuando se trate de activos diferentes a los señalados en los ítems 1 al 11 del artículo 32 y activos diferentes de los saldos en inversiones y cuentas a los que aluden los artículos 29 y 30 de la Resolución 000162 de 2023, se puede utilizar el concepto 1526. Para efectos de reportar el valor patrimonial al 31 de diciembre de cada año de las cuentas y de las inversiones, el sujeto obligado a reportar esta información deberá hacerlo en los formatos y concepto que para el efecto establecen los artículos mencionados.</w:t>
      </w:r>
    </w:p>
    <w:p w14:paraId="339C3574" w14:textId="77777777" w:rsidR="006A50D8" w:rsidRPr="006A50D8" w:rsidRDefault="006A50D8" w:rsidP="006A50D8">
      <w:pPr>
        <w:rPr>
          <w:rFonts w:ascii="Times New Roman" w:eastAsia="Times New Roman" w:hAnsi="Times New Roman" w:cs="Times New Roman"/>
          <w:kern w:val="0"/>
          <w:lang w:val="es-CO" w:eastAsia="es-MX"/>
          <w14:ligatures w14:val="none"/>
        </w:rPr>
      </w:pPr>
      <w:r w:rsidRPr="006A50D8">
        <w:rPr>
          <w:rFonts w:ascii="Times New Roman" w:eastAsia="Times New Roman" w:hAnsi="Times New Roman" w:cs="Times New Roman"/>
          <w:kern w:val="0"/>
          <w:lang w:val="es-CO" w:eastAsia="es-MX"/>
          <w14:ligatures w14:val="none"/>
        </w:rPr>
        <w:br/>
      </w:r>
    </w:p>
    <w:p w14:paraId="0ABB6B86" w14:textId="77777777" w:rsidR="006A50D8" w:rsidRPr="006A50D8" w:rsidRDefault="006A50D8" w:rsidP="006A50D8">
      <w:pPr>
        <w:numPr>
          <w:ilvl w:val="0"/>
          <w:numId w:val="9"/>
        </w:numPr>
        <w:jc w:val="both"/>
        <w:textAlignment w:val="baseline"/>
        <w:rPr>
          <w:rFonts w:ascii="Verdana" w:eastAsia="Times New Roman" w:hAnsi="Verdana" w:cs="Times New Roman"/>
          <w:color w:val="000000"/>
          <w:kern w:val="0"/>
          <w:lang w:val="es-CO" w:eastAsia="es-MX"/>
          <w14:ligatures w14:val="none"/>
        </w:rPr>
      </w:pPr>
      <w:r w:rsidRPr="006A50D8">
        <w:rPr>
          <w:rFonts w:ascii="Verdana" w:eastAsia="Times New Roman" w:hAnsi="Verdana" w:cs="Times New Roman"/>
          <w:color w:val="000000"/>
          <w:kern w:val="0"/>
          <w:lang w:val="es-CO" w:eastAsia="es-MX"/>
          <w14:ligatures w14:val="none"/>
        </w:rPr>
        <w:t>Por lo anterior, en cada caso el valor a suministrar en el concepto “Valor patrimonial de otros activos” será determinable por el sujeto responsable atendiendo las definiciones y exclusiones que establece la Resolución 000162 de 2023</w:t>
      </w:r>
    </w:p>
    <w:p w14:paraId="5318B8FD" w14:textId="77777777" w:rsidR="006A50D8" w:rsidRPr="006A50D8" w:rsidRDefault="006A50D8" w:rsidP="006A50D8">
      <w:pPr>
        <w:rPr>
          <w:rFonts w:ascii="Times New Roman" w:eastAsia="Times New Roman" w:hAnsi="Times New Roman" w:cs="Times New Roman"/>
          <w:kern w:val="0"/>
          <w:lang w:val="es-CO" w:eastAsia="es-MX"/>
          <w14:ligatures w14:val="none"/>
        </w:rPr>
      </w:pPr>
      <w:r w:rsidRPr="006A50D8">
        <w:rPr>
          <w:rFonts w:ascii="Times New Roman" w:eastAsia="Times New Roman" w:hAnsi="Times New Roman" w:cs="Times New Roman"/>
          <w:kern w:val="0"/>
          <w:lang w:val="es-CO" w:eastAsia="es-MX"/>
          <w14:ligatures w14:val="none"/>
        </w:rPr>
        <w:br/>
      </w:r>
    </w:p>
    <w:p w14:paraId="767D9C6C" w14:textId="77777777" w:rsidR="006A50D8" w:rsidRPr="006A50D8" w:rsidRDefault="006A50D8" w:rsidP="006A50D8">
      <w:pPr>
        <w:numPr>
          <w:ilvl w:val="0"/>
          <w:numId w:val="10"/>
        </w:numPr>
        <w:jc w:val="both"/>
        <w:textAlignment w:val="baseline"/>
        <w:rPr>
          <w:rFonts w:ascii="Verdana" w:eastAsia="Times New Roman" w:hAnsi="Verdana" w:cs="Times New Roman"/>
          <w:color w:val="000000"/>
          <w:kern w:val="0"/>
          <w:lang w:val="es-CO" w:eastAsia="es-MX"/>
          <w14:ligatures w14:val="none"/>
        </w:rPr>
      </w:pPr>
      <w:r w:rsidRPr="006A50D8">
        <w:rPr>
          <w:rFonts w:ascii="Verdana" w:eastAsia="Times New Roman" w:hAnsi="Verdana" w:cs="Times New Roman"/>
          <w:color w:val="000000"/>
          <w:kern w:val="0"/>
          <w:lang w:val="es-CO" w:eastAsia="es-MX"/>
          <w14:ligatures w14:val="none"/>
        </w:rPr>
        <w:t>Sin perjuicio de lo anterior, y dado que la finalidad de la obligación de entregar información tributaria a la DIAN es la de realizar estudios y cruces de información que permitan ejercer de una manera eficaz y eficiente las acciones de fiscalización</w:t>
      </w:r>
      <w:r w:rsidRPr="006A50D8">
        <w:rPr>
          <w:rFonts w:ascii="Verdana" w:eastAsia="Times New Roman" w:hAnsi="Verdana" w:cs="Times New Roman"/>
          <w:color w:val="000000"/>
          <w:kern w:val="0"/>
          <w:sz w:val="14"/>
          <w:szCs w:val="14"/>
          <w:vertAlign w:val="superscript"/>
          <w:lang w:val="es-CO" w:eastAsia="es-MX"/>
          <w14:ligatures w14:val="none"/>
        </w:rPr>
        <w:t>3</w:t>
      </w:r>
      <w:r w:rsidRPr="006A50D8">
        <w:rPr>
          <w:rFonts w:ascii="Verdana" w:eastAsia="Times New Roman" w:hAnsi="Verdana" w:cs="Times New Roman"/>
          <w:color w:val="000000"/>
          <w:kern w:val="0"/>
          <w:lang w:val="es-CO" w:eastAsia="es-MX"/>
          <w14:ligatures w14:val="none"/>
        </w:rPr>
        <w:t>, para evitar que el valor patrimonial de los activos se pueda ver afectado, es necesario que el sujeto obligado a reportar la información realice la revisión correspondiente con el fin de evitar la duplicidad en la entrega de la información.</w:t>
      </w:r>
    </w:p>
    <w:p w14:paraId="4BE6C542" w14:textId="77777777" w:rsidR="006A50D8" w:rsidRPr="006A50D8" w:rsidRDefault="006A50D8" w:rsidP="006A50D8">
      <w:pPr>
        <w:rPr>
          <w:rFonts w:ascii="Times New Roman" w:eastAsia="Times New Roman" w:hAnsi="Times New Roman" w:cs="Times New Roman"/>
          <w:kern w:val="0"/>
          <w:lang w:val="es-CO" w:eastAsia="es-MX"/>
          <w14:ligatures w14:val="none"/>
        </w:rPr>
      </w:pPr>
      <w:r w:rsidRPr="006A50D8">
        <w:rPr>
          <w:rFonts w:ascii="Times New Roman" w:eastAsia="Times New Roman" w:hAnsi="Times New Roman" w:cs="Times New Roman"/>
          <w:kern w:val="0"/>
          <w:lang w:val="es-CO" w:eastAsia="es-MX"/>
          <w14:ligatures w14:val="none"/>
        </w:rPr>
        <w:br/>
      </w:r>
    </w:p>
    <w:p w14:paraId="6F2A4FB6" w14:textId="77777777" w:rsidR="006A50D8" w:rsidRPr="006A50D8" w:rsidRDefault="006A50D8" w:rsidP="006A50D8">
      <w:pPr>
        <w:numPr>
          <w:ilvl w:val="0"/>
          <w:numId w:val="11"/>
        </w:numPr>
        <w:jc w:val="both"/>
        <w:textAlignment w:val="baseline"/>
        <w:rPr>
          <w:rFonts w:ascii="Verdana" w:eastAsia="Times New Roman" w:hAnsi="Verdana" w:cs="Times New Roman"/>
          <w:color w:val="000000"/>
          <w:kern w:val="0"/>
          <w:lang w:val="es-CO" w:eastAsia="es-MX"/>
          <w14:ligatures w14:val="none"/>
        </w:rPr>
      </w:pPr>
      <w:r w:rsidRPr="006A50D8">
        <w:rPr>
          <w:rFonts w:ascii="Verdana" w:eastAsia="Times New Roman" w:hAnsi="Verdana" w:cs="Times New Roman"/>
          <w:color w:val="000000"/>
          <w:kern w:val="0"/>
          <w:lang w:val="es-CO" w:eastAsia="es-MX"/>
          <w14:ligatures w14:val="none"/>
        </w:rPr>
        <w:lastRenderedPageBreak/>
        <w:t xml:space="preserve">Finalmente, se adjunta el siguiente enlace en el cual podrá consultar la información que debe entregar a la DIAN, así como los formatos diseñados para el efecto: </w:t>
      </w:r>
      <w:hyperlink r:id="rId5" w:history="1">
        <w:r w:rsidRPr="006A50D8">
          <w:rPr>
            <w:rFonts w:ascii="Verdana" w:eastAsia="Times New Roman" w:hAnsi="Verdana" w:cs="Times New Roman"/>
            <w:color w:val="000000"/>
            <w:kern w:val="0"/>
            <w:u w:val="single"/>
            <w:lang w:val="es-CO" w:eastAsia="es-MX"/>
            <w14:ligatures w14:val="none"/>
          </w:rPr>
          <w:t>https://www.dian.gov.co/impuestos/sociedades/ExogenaTributaria/Normatividad/Paginas/default.aspx</w:t>
        </w:r>
      </w:hyperlink>
      <w:r w:rsidRPr="006A50D8">
        <w:rPr>
          <w:rFonts w:ascii="Verdana" w:eastAsia="Times New Roman" w:hAnsi="Verdana" w:cs="Times New Roman"/>
          <w:color w:val="000000"/>
          <w:kern w:val="0"/>
          <w:lang w:val="es-CO" w:eastAsia="es-MX"/>
          <w14:ligatures w14:val="none"/>
        </w:rPr>
        <w:t>.</w:t>
      </w:r>
    </w:p>
    <w:p w14:paraId="4540F80C" w14:textId="77777777" w:rsidR="006A50D8" w:rsidRPr="006A50D8" w:rsidRDefault="006A50D8" w:rsidP="006A50D8">
      <w:pPr>
        <w:rPr>
          <w:rFonts w:ascii="Times New Roman" w:eastAsia="Times New Roman" w:hAnsi="Times New Roman" w:cs="Times New Roman"/>
          <w:kern w:val="0"/>
          <w:lang w:val="es-CO" w:eastAsia="es-MX"/>
          <w14:ligatures w14:val="none"/>
        </w:rPr>
      </w:pPr>
    </w:p>
    <w:p w14:paraId="6878B2A8"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hyperlink r:id="rId6" w:history="1">
        <w:r w:rsidRPr="006A50D8">
          <w:rPr>
            <w:rFonts w:ascii="Verdana" w:eastAsia="Times New Roman" w:hAnsi="Verdana" w:cs="Times New Roman"/>
            <w:color w:val="000000"/>
            <w:kern w:val="0"/>
            <w:u w:val="single"/>
            <w:lang w:val="es-CO" w:eastAsia="es-MX"/>
            <w14:ligatures w14:val="none"/>
          </w:rPr>
          <w:t>https://normograma.dian.gov.co/dian/</w:t>
        </w:r>
      </w:hyperlink>
      <w:r w:rsidRPr="006A50D8">
        <w:rPr>
          <w:rFonts w:ascii="Verdana" w:eastAsia="Times New Roman" w:hAnsi="Verdana" w:cs="Times New Roman"/>
          <w:color w:val="000000"/>
          <w:kern w:val="0"/>
          <w:lang w:val="es-CO" w:eastAsia="es-MX"/>
          <w14:ligatures w14:val="none"/>
        </w:rPr>
        <w:t>.</w:t>
      </w:r>
    </w:p>
    <w:p w14:paraId="796AD01D" w14:textId="77777777" w:rsidR="006A50D8" w:rsidRPr="006A50D8" w:rsidRDefault="006A50D8" w:rsidP="006A50D8">
      <w:pPr>
        <w:rPr>
          <w:rFonts w:ascii="Times New Roman" w:eastAsia="Times New Roman" w:hAnsi="Times New Roman" w:cs="Times New Roman"/>
          <w:kern w:val="0"/>
          <w:lang w:val="es-CO" w:eastAsia="es-MX"/>
          <w14:ligatures w14:val="none"/>
        </w:rPr>
      </w:pPr>
    </w:p>
    <w:p w14:paraId="11BED6C2"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Atentamente,</w:t>
      </w:r>
    </w:p>
    <w:p w14:paraId="61418B72" w14:textId="77777777" w:rsidR="006A50D8" w:rsidRPr="006A50D8" w:rsidRDefault="006A50D8" w:rsidP="006A50D8">
      <w:pPr>
        <w:rPr>
          <w:rFonts w:ascii="Times New Roman" w:eastAsia="Times New Roman" w:hAnsi="Times New Roman" w:cs="Times New Roman"/>
          <w:kern w:val="0"/>
          <w:lang w:val="es-CO" w:eastAsia="es-MX"/>
          <w14:ligatures w14:val="none"/>
        </w:rPr>
      </w:pPr>
    </w:p>
    <w:p w14:paraId="2A8F6C62"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b/>
          <w:bCs/>
          <w:color w:val="000000"/>
          <w:kern w:val="0"/>
          <w:lang w:val="es-CO" w:eastAsia="es-MX"/>
          <w14:ligatures w14:val="none"/>
        </w:rPr>
        <w:t>INGRID CASTAÑEDA CEPEDA</w:t>
      </w:r>
    </w:p>
    <w:p w14:paraId="5B3DA884"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Subdirectora de Normativa y Doctrina (A) </w:t>
      </w:r>
    </w:p>
    <w:p w14:paraId="6776C3A4"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Dirección de Gestión Jurídica</w:t>
      </w:r>
    </w:p>
    <w:p w14:paraId="523C55CD"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U.A.E. Dirección de Impuestos y Aduanas Nacionales – DIAN </w:t>
      </w:r>
    </w:p>
    <w:p w14:paraId="6FB47089"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 xml:space="preserve">Dirección: </w:t>
      </w:r>
      <w:proofErr w:type="spellStart"/>
      <w:r w:rsidRPr="006A50D8">
        <w:rPr>
          <w:rFonts w:ascii="Verdana" w:eastAsia="Times New Roman" w:hAnsi="Verdana" w:cs="Times New Roman"/>
          <w:color w:val="000000"/>
          <w:kern w:val="0"/>
          <w:lang w:val="es-CO" w:eastAsia="es-MX"/>
          <w14:ligatures w14:val="none"/>
        </w:rPr>
        <w:t>Cra</w:t>
      </w:r>
      <w:proofErr w:type="spellEnd"/>
      <w:r w:rsidRPr="006A50D8">
        <w:rPr>
          <w:rFonts w:ascii="Verdana" w:eastAsia="Times New Roman" w:hAnsi="Verdana" w:cs="Times New Roman"/>
          <w:color w:val="000000"/>
          <w:kern w:val="0"/>
          <w:lang w:val="es-CO" w:eastAsia="es-MX"/>
          <w14:ligatures w14:val="none"/>
        </w:rPr>
        <w:t>. 8 # 6C-38 Edificio San Agustín - Piso 4 </w:t>
      </w:r>
    </w:p>
    <w:p w14:paraId="784E3A84"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r w:rsidRPr="006A50D8">
        <w:rPr>
          <w:rFonts w:ascii="Verdana" w:eastAsia="Times New Roman" w:hAnsi="Verdana" w:cs="Times New Roman"/>
          <w:color w:val="000000"/>
          <w:kern w:val="0"/>
          <w:lang w:val="es-CO" w:eastAsia="es-MX"/>
          <w14:ligatures w14:val="none"/>
        </w:rPr>
        <w:t>Bogotá, D.C.</w:t>
      </w:r>
    </w:p>
    <w:p w14:paraId="6C27D8CE" w14:textId="77777777" w:rsidR="006A50D8" w:rsidRPr="006A50D8" w:rsidRDefault="006A50D8" w:rsidP="006A50D8">
      <w:pPr>
        <w:jc w:val="both"/>
        <w:rPr>
          <w:rFonts w:ascii="Times New Roman" w:eastAsia="Times New Roman" w:hAnsi="Times New Roman" w:cs="Times New Roman"/>
          <w:kern w:val="0"/>
          <w:lang w:val="es-CO" w:eastAsia="es-MX"/>
          <w14:ligatures w14:val="none"/>
        </w:rPr>
      </w:pPr>
      <w:hyperlink r:id="rId7" w:history="1">
        <w:r w:rsidRPr="006A50D8">
          <w:rPr>
            <w:rFonts w:ascii="Verdana" w:eastAsia="Times New Roman" w:hAnsi="Verdana" w:cs="Times New Roman"/>
            <w:color w:val="000000"/>
            <w:kern w:val="0"/>
            <w:u w:val="single"/>
            <w:lang w:val="es-CO" w:eastAsia="es-MX"/>
            <w14:ligatures w14:val="none"/>
          </w:rPr>
          <w:t>www.dian.gov.co</w:t>
        </w:r>
      </w:hyperlink>
    </w:p>
    <w:p w14:paraId="4FB5449B" w14:textId="77777777" w:rsidR="006A50D8" w:rsidRPr="006A50D8" w:rsidRDefault="006A50D8" w:rsidP="006A50D8">
      <w:pPr>
        <w:rPr>
          <w:rFonts w:ascii="Times New Roman" w:eastAsia="Times New Roman" w:hAnsi="Times New Roman" w:cs="Times New Roman"/>
          <w:kern w:val="0"/>
          <w:lang w:val="es-CO" w:eastAsia="es-MX"/>
          <w14:ligatures w14:val="none"/>
        </w:rPr>
      </w:pPr>
    </w:p>
    <w:p w14:paraId="2B7A7D09"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A770A"/>
    <w:multiLevelType w:val="multilevel"/>
    <w:tmpl w:val="28BAED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752BE1"/>
    <w:multiLevelType w:val="multilevel"/>
    <w:tmpl w:val="140E99A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E87FD3"/>
    <w:multiLevelType w:val="multilevel"/>
    <w:tmpl w:val="3C18D95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62393B"/>
    <w:multiLevelType w:val="multilevel"/>
    <w:tmpl w:val="ACEA1F0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453918"/>
    <w:multiLevelType w:val="multilevel"/>
    <w:tmpl w:val="2E64F6D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B3181A"/>
    <w:multiLevelType w:val="multilevel"/>
    <w:tmpl w:val="8B88765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F7E7979"/>
    <w:multiLevelType w:val="multilevel"/>
    <w:tmpl w:val="CD084AB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F851FD7"/>
    <w:multiLevelType w:val="multilevel"/>
    <w:tmpl w:val="4C32733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0110C83"/>
    <w:multiLevelType w:val="multilevel"/>
    <w:tmpl w:val="697E7D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44F2B76"/>
    <w:multiLevelType w:val="multilevel"/>
    <w:tmpl w:val="11AC6C0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B066A9E"/>
    <w:multiLevelType w:val="multilevel"/>
    <w:tmpl w:val="189C8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60810019">
    <w:abstractNumId w:val="10"/>
  </w:num>
  <w:num w:numId="2" w16cid:durableId="1005205434">
    <w:abstractNumId w:val="9"/>
    <w:lvlOverride w:ilvl="0">
      <w:lvl w:ilvl="0">
        <w:numFmt w:val="decimal"/>
        <w:lvlText w:val="%1."/>
        <w:lvlJc w:val="left"/>
      </w:lvl>
    </w:lvlOverride>
  </w:num>
  <w:num w:numId="3" w16cid:durableId="1375815999">
    <w:abstractNumId w:val="5"/>
    <w:lvlOverride w:ilvl="0">
      <w:lvl w:ilvl="0">
        <w:numFmt w:val="decimal"/>
        <w:lvlText w:val="%1."/>
        <w:lvlJc w:val="left"/>
      </w:lvl>
    </w:lvlOverride>
  </w:num>
  <w:num w:numId="4" w16cid:durableId="2139489577">
    <w:abstractNumId w:val="8"/>
    <w:lvlOverride w:ilvl="0">
      <w:lvl w:ilvl="0">
        <w:numFmt w:val="decimal"/>
        <w:lvlText w:val="%1."/>
        <w:lvlJc w:val="left"/>
      </w:lvl>
    </w:lvlOverride>
  </w:num>
  <w:num w:numId="5" w16cid:durableId="1788037398">
    <w:abstractNumId w:val="1"/>
    <w:lvlOverride w:ilvl="0">
      <w:lvl w:ilvl="0">
        <w:numFmt w:val="decimal"/>
        <w:lvlText w:val="%1."/>
        <w:lvlJc w:val="left"/>
      </w:lvl>
    </w:lvlOverride>
  </w:num>
  <w:num w:numId="6" w16cid:durableId="421490634">
    <w:abstractNumId w:val="6"/>
    <w:lvlOverride w:ilvl="0">
      <w:lvl w:ilvl="0">
        <w:numFmt w:val="decimal"/>
        <w:lvlText w:val="%1."/>
        <w:lvlJc w:val="left"/>
      </w:lvl>
    </w:lvlOverride>
  </w:num>
  <w:num w:numId="7" w16cid:durableId="1351879779">
    <w:abstractNumId w:val="3"/>
    <w:lvlOverride w:ilvl="0">
      <w:lvl w:ilvl="0">
        <w:numFmt w:val="decimal"/>
        <w:lvlText w:val="%1."/>
        <w:lvlJc w:val="left"/>
      </w:lvl>
    </w:lvlOverride>
  </w:num>
  <w:num w:numId="8" w16cid:durableId="1930767050">
    <w:abstractNumId w:val="0"/>
    <w:lvlOverride w:ilvl="0">
      <w:lvl w:ilvl="0">
        <w:numFmt w:val="decimal"/>
        <w:lvlText w:val="%1."/>
        <w:lvlJc w:val="left"/>
      </w:lvl>
    </w:lvlOverride>
  </w:num>
  <w:num w:numId="9" w16cid:durableId="986788299">
    <w:abstractNumId w:val="2"/>
    <w:lvlOverride w:ilvl="0">
      <w:lvl w:ilvl="0">
        <w:numFmt w:val="decimal"/>
        <w:lvlText w:val="%1."/>
        <w:lvlJc w:val="left"/>
      </w:lvl>
    </w:lvlOverride>
  </w:num>
  <w:num w:numId="10" w16cid:durableId="1174299885">
    <w:abstractNumId w:val="7"/>
    <w:lvlOverride w:ilvl="0">
      <w:lvl w:ilvl="0">
        <w:numFmt w:val="decimal"/>
        <w:lvlText w:val="%1."/>
        <w:lvlJc w:val="left"/>
      </w:lvl>
    </w:lvlOverride>
  </w:num>
  <w:num w:numId="11" w16cid:durableId="627008025">
    <w:abstractNumId w:val="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0D8"/>
    <w:rsid w:val="000B2285"/>
    <w:rsid w:val="00537D8F"/>
    <w:rsid w:val="006A50D8"/>
    <w:rsid w:val="00A117FB"/>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BDBA273"/>
  <w14:defaultImageDpi w14:val="32767"/>
  <w15:chartTrackingRefBased/>
  <w15:docId w15:val="{DB5124DE-3311-B447-9844-3B079CDDB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A50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A50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A50D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A50D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A50D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A50D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A50D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A50D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A50D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A50D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6A50D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A50D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A50D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6A50D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6A50D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A50D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A50D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A50D8"/>
    <w:rPr>
      <w:rFonts w:eastAsiaTheme="majorEastAsia" w:cstheme="majorBidi"/>
      <w:color w:val="272727" w:themeColor="text1" w:themeTint="D8"/>
    </w:rPr>
  </w:style>
  <w:style w:type="paragraph" w:styleId="Ttulo">
    <w:name w:val="Title"/>
    <w:basedOn w:val="Normal"/>
    <w:next w:val="Normal"/>
    <w:link w:val="TtuloCar"/>
    <w:uiPriority w:val="10"/>
    <w:qFormat/>
    <w:rsid w:val="006A50D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A50D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A50D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A50D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A50D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A50D8"/>
    <w:rPr>
      <w:i/>
      <w:iCs/>
      <w:color w:val="404040" w:themeColor="text1" w:themeTint="BF"/>
    </w:rPr>
  </w:style>
  <w:style w:type="paragraph" w:styleId="Prrafodelista">
    <w:name w:val="List Paragraph"/>
    <w:basedOn w:val="Normal"/>
    <w:uiPriority w:val="34"/>
    <w:qFormat/>
    <w:rsid w:val="006A50D8"/>
    <w:pPr>
      <w:ind w:left="720"/>
      <w:contextualSpacing/>
    </w:pPr>
  </w:style>
  <w:style w:type="character" w:styleId="nfasisintenso">
    <w:name w:val="Intense Emphasis"/>
    <w:basedOn w:val="Fuentedeprrafopredeter"/>
    <w:uiPriority w:val="21"/>
    <w:qFormat/>
    <w:rsid w:val="006A50D8"/>
    <w:rPr>
      <w:i/>
      <w:iCs/>
      <w:color w:val="2F5496" w:themeColor="accent1" w:themeShade="BF"/>
    </w:rPr>
  </w:style>
  <w:style w:type="paragraph" w:styleId="Citadestacada">
    <w:name w:val="Intense Quote"/>
    <w:basedOn w:val="Normal"/>
    <w:next w:val="Normal"/>
    <w:link w:val="CitadestacadaCar"/>
    <w:uiPriority w:val="30"/>
    <w:qFormat/>
    <w:rsid w:val="006A50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A50D8"/>
    <w:rPr>
      <w:i/>
      <w:iCs/>
      <w:color w:val="2F5496" w:themeColor="accent1" w:themeShade="BF"/>
    </w:rPr>
  </w:style>
  <w:style w:type="character" w:styleId="Referenciaintensa">
    <w:name w:val="Intense Reference"/>
    <w:basedOn w:val="Fuentedeprrafopredeter"/>
    <w:uiPriority w:val="32"/>
    <w:qFormat/>
    <w:rsid w:val="006A50D8"/>
    <w:rPr>
      <w:b/>
      <w:bCs/>
      <w:smallCaps/>
      <w:color w:val="2F5496" w:themeColor="accent1" w:themeShade="BF"/>
      <w:spacing w:val="5"/>
    </w:rPr>
  </w:style>
  <w:style w:type="paragraph" w:styleId="NormalWeb">
    <w:name w:val="Normal (Web)"/>
    <w:basedOn w:val="Normal"/>
    <w:uiPriority w:val="99"/>
    <w:semiHidden/>
    <w:unhideWhenUsed/>
    <w:rsid w:val="006A50D8"/>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6A50D8"/>
  </w:style>
  <w:style w:type="character" w:styleId="Hipervnculo">
    <w:name w:val="Hyperlink"/>
    <w:basedOn w:val="Fuentedeprrafopredeter"/>
    <w:uiPriority w:val="99"/>
    <w:semiHidden/>
    <w:unhideWhenUsed/>
    <w:rsid w:val="006A50D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ian.gov.c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ormograma.dian.gov.co/dian/" TargetMode="External"/><Relationship Id="rId5" Type="http://schemas.openxmlformats.org/officeDocument/2006/relationships/hyperlink" Target="https://www.dian.gov.co/impuestos/sociedades/ExogenaTributaria/Normatividad/Paginas/default.asp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723</Words>
  <Characters>3980</Characters>
  <Application>Microsoft Office Word</Application>
  <DocSecurity>0</DocSecurity>
  <Lines>33</Lines>
  <Paragraphs>9</Paragraphs>
  <ScaleCrop>false</ScaleCrop>
  <Company/>
  <LinksUpToDate>false</LinksUpToDate>
  <CharactersWithSpaces>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2025-10-21T13:35:00Z</dcterms:created>
  <dcterms:modified xsi:type="dcterms:W3CDTF">2025-10-21T13:36:00Z</dcterms:modified>
</cp:coreProperties>
</file>