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BEBA9" w14:textId="77777777" w:rsidR="007D1B57" w:rsidRPr="007D1B57" w:rsidRDefault="007D1B57" w:rsidP="007D1B5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CONCEPTO DIAN 1147 DEL 30 DE JULIO DE 2025</w:t>
      </w:r>
    </w:p>
    <w:p w14:paraId="70FC87BC" w14:textId="77777777" w:rsidR="007D1B57" w:rsidRPr="007D1B57" w:rsidRDefault="007D1B57" w:rsidP="007D1B5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DIRECCIÓN DE IMPUESTOS Y ADUANAS NACIONALES</w:t>
      </w:r>
    </w:p>
    <w:p w14:paraId="22F0333B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3EA228A" w14:textId="77777777" w:rsidR="007D1B57" w:rsidRPr="007D1B57" w:rsidRDefault="007D1B57" w:rsidP="007D1B5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Bogotá, D.C., 30 de julio de 2025.</w:t>
      </w:r>
    </w:p>
    <w:p w14:paraId="783C0C9A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2BC758B" w14:textId="77777777" w:rsidR="007D1B57" w:rsidRPr="007D1B57" w:rsidRDefault="007D1B57" w:rsidP="007D1B5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Cordial saludo</w:t>
      </w:r>
    </w:p>
    <w:p w14:paraId="02F62A3E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38BF50B5" w14:textId="77777777" w:rsidR="007D1B57" w:rsidRPr="007D1B57" w:rsidRDefault="007D1B57" w:rsidP="007D1B57">
      <w:pPr>
        <w:numPr>
          <w:ilvl w:val="0"/>
          <w:numId w:val="1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Esta Subdirección está facultada para absolver las consultas escritas, presentadas de manera general, sobre la interpretación y aplicación de las normas tributarias, aduaneras y de fiscalización cambiaria, en lo de competencia de la DIAN</w:t>
      </w:r>
      <w:r w:rsidRPr="007D1B57">
        <w:rPr>
          <w:rFonts w:ascii="Verdana" w:eastAsia="Times New Roman" w:hAnsi="Verdana" w:cs="Times New Roman"/>
          <w:color w:val="000000"/>
          <w:kern w:val="0"/>
          <w:sz w:val="14"/>
          <w:szCs w:val="14"/>
          <w:vertAlign w:val="superscript"/>
          <w:lang w:val="es-CO" w:eastAsia="es-MX"/>
          <w14:ligatures w14:val="none"/>
        </w:rPr>
        <w:t>1</w:t>
      </w:r>
      <w:r w:rsidRPr="007D1B5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. En este sentido, la doctrina emitida será de carácter general, no se referirá a asuntos particulares y se someterá a lo consagrado en el artículo 131 de la Ley 2010 de 2019</w:t>
      </w:r>
      <w:r w:rsidRPr="007D1B57">
        <w:rPr>
          <w:rFonts w:ascii="Verdana" w:eastAsia="Times New Roman" w:hAnsi="Verdana" w:cs="Times New Roman"/>
          <w:color w:val="000000"/>
          <w:kern w:val="0"/>
          <w:sz w:val="14"/>
          <w:szCs w:val="14"/>
          <w:vertAlign w:val="superscript"/>
          <w:lang w:val="es-CO" w:eastAsia="es-MX"/>
          <w14:ligatures w14:val="none"/>
        </w:rPr>
        <w:t>2</w:t>
      </w:r>
      <w:r w:rsidRPr="007D1B5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.</w:t>
      </w:r>
    </w:p>
    <w:p w14:paraId="1E8814D6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6594217E" w14:textId="77777777" w:rsidR="007D1B57" w:rsidRPr="007D1B57" w:rsidRDefault="007D1B57" w:rsidP="007D1B57">
      <w:pPr>
        <w:numPr>
          <w:ilvl w:val="0"/>
          <w:numId w:val="2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En atención a la consulta de la referencia en la que solicita se indique cuántas cuentas de ahorro pueden estar marcadas con la exención del Gravamen a los Movimientos Financieros (GMF), con ocasión a la entrada en vigor del artículo 881-1 del Estatuto Tributario, a continuación, nuestros comentarios:</w:t>
      </w:r>
    </w:p>
    <w:p w14:paraId="7ED5D11C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6BC4266A" w14:textId="77777777" w:rsidR="007D1B57" w:rsidRPr="007D1B57" w:rsidRDefault="007D1B57" w:rsidP="007D1B57">
      <w:pPr>
        <w:numPr>
          <w:ilvl w:val="0"/>
          <w:numId w:val="3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Esta Subdirección se pronunció al respecto a través de Concepto 003949 – </w:t>
      </w:r>
      <w:proofErr w:type="spellStart"/>
      <w:r w:rsidRPr="007D1B5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int</w:t>
      </w:r>
      <w:proofErr w:type="spellEnd"/>
      <w:r w:rsidRPr="007D1B5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478 del 2 de abril de 2025:</w:t>
      </w:r>
    </w:p>
    <w:p w14:paraId="5F02AB77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478D0EC" w14:textId="77777777" w:rsidR="007D1B57" w:rsidRPr="007D1B57" w:rsidRDefault="007D1B57" w:rsidP="007D1B57">
      <w:pPr>
        <w:ind w:left="567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“Desde el 13 de diciembre de 2024, con la entrada en vigencia del artículo 881-1 del Estatuto Tributario, ya no es necesario marcar una única cuenta para acceder a la exención de hasta 350 UVT mensuales: esta se puede aplicar de forma distribuida entre varias cuentas propias, incluso en diferentes entidades, siempre que estas hayan implementado el sistema de información correspondiente.</w:t>
      </w:r>
    </w:p>
    <w:p w14:paraId="29F3954C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00B35ADB" w14:textId="77777777" w:rsidR="007D1B57" w:rsidRPr="007D1B57" w:rsidRDefault="007D1B57" w:rsidP="007D1B57">
      <w:pPr>
        <w:numPr>
          <w:ilvl w:val="0"/>
          <w:numId w:val="4"/>
        </w:numPr>
        <w:jc w:val="both"/>
        <w:textAlignment w:val="baseline"/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A continuación, se explican los fundamentos normativos y el procedimiento aplicable:</w:t>
      </w:r>
    </w:p>
    <w:p w14:paraId="7BB139A7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58FDC16A" w14:textId="77777777" w:rsidR="007D1B57" w:rsidRPr="007D1B57" w:rsidRDefault="007D1B57" w:rsidP="007D1B57">
      <w:pPr>
        <w:numPr>
          <w:ilvl w:val="0"/>
          <w:numId w:val="5"/>
        </w:numPr>
        <w:jc w:val="both"/>
        <w:textAlignment w:val="baseline"/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El numeral 1 del artículo 879 del Estatuto Tributario, el cual establece: </w:t>
      </w:r>
    </w:p>
    <w:p w14:paraId="19F1ED95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1341A15" w14:textId="77777777" w:rsidR="007D1B57" w:rsidRPr="007D1B57" w:rsidRDefault="007D1B57" w:rsidP="007D1B57">
      <w:pPr>
        <w:ind w:left="567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Se encuentran exentos del Gravamen a los Movimientos Financieros:</w:t>
      </w:r>
    </w:p>
    <w:p w14:paraId="76D9973B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148B992A" w14:textId="77777777" w:rsidR="007D1B57" w:rsidRPr="007D1B57" w:rsidRDefault="007D1B57" w:rsidP="007D1B57">
      <w:pPr>
        <w:numPr>
          <w:ilvl w:val="0"/>
          <w:numId w:val="6"/>
        </w:numPr>
        <w:ind w:left="927"/>
        <w:jc w:val="both"/>
        <w:textAlignment w:val="baseline"/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lastRenderedPageBreak/>
        <w:t>Los retiros efectuados de las cuentas de ahorro, los depósitos electrónicos o tarjetas prepago abiertas o administradas por entidades financieras y/o cooperativas de naturaleza financiera o de ahorro y crédito vigiladas por las Superintendencias Financiera o de Economía Solidaria respectivamente, que no excedan mensualmente de trescientos cincuenta (350) UVT, para lo cual el titular de la cuenta o de la tarjeta prepago deberá indicar ante la respectiva entidad financiera o cooperativa financiera, que dicha cuenta, depósito o tarjeta prepago será la única beneficiada con la exención.”</w:t>
      </w:r>
    </w:p>
    <w:p w14:paraId="4A7F94EF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B8162E7" w14:textId="77777777" w:rsidR="007D1B57" w:rsidRPr="007D1B57" w:rsidRDefault="007D1B57" w:rsidP="007D1B57">
      <w:pPr>
        <w:ind w:left="567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6.</w:t>
      </w:r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ab/>
        <w:t>Este requisito de marcación de una única cuenta fue modificado por el artículo 881-1 del mismo Estatuto, adicionado por el artículo 65 de la Ley 2277 de 2022. Dicha norma dispuso:</w:t>
      </w:r>
    </w:p>
    <w:p w14:paraId="4DBBF5BC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ECF0184" w14:textId="77777777" w:rsidR="007D1B57" w:rsidRPr="007D1B57" w:rsidRDefault="007D1B57" w:rsidP="007D1B57">
      <w:pPr>
        <w:ind w:left="567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“Las entidades financieras y/o cooperativas [...] deberán adoptar un sistema de información que permita la verificación, control y retención del Gravamen a los Movimientos Financieros en los términos del artículo 879 del Estatuto Tributario de forma que se permita aplicar la exención de trescientos cincuenta (350) UVT mensuales señalada en el numeral 1 del Artículo 879 del Estatuto Tributario sin la necesidad de marcar una única cuenta.”</w:t>
      </w:r>
    </w:p>
    <w:p w14:paraId="267A0517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221F88E" w14:textId="77777777" w:rsidR="007D1B57" w:rsidRPr="007D1B57" w:rsidRDefault="007D1B57" w:rsidP="007D1B57">
      <w:pPr>
        <w:ind w:left="567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 xml:space="preserve">7. El parágrafo transitorio del mismo artículo estableció un plazo de dos años para su entrada en vigor, el cual se cumplió el 13 de diciembre de 2024. A partir de esta fecha, lo allí dispuesto es plenamente exigible, como lo ha reiterado el Concepto 005976 – </w:t>
      </w:r>
      <w:proofErr w:type="spellStart"/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int</w:t>
      </w:r>
      <w:proofErr w:type="spellEnd"/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 xml:space="preserve"> 1494 de 2024:</w:t>
      </w:r>
    </w:p>
    <w:p w14:paraId="5C493813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FF91E98" w14:textId="77777777" w:rsidR="007D1B57" w:rsidRPr="007D1B57" w:rsidRDefault="007D1B57" w:rsidP="007D1B57">
      <w:pPr>
        <w:ind w:left="567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“Una vez vencido el plazo, se hará exigible lo dispuesto en el artículo mencionado, esto es, que las entidades financieras y/o cooperativas [...] apliquen la exención mensual de trescientos cincuenta (350) UVT sin la necesidad de marcar una única cuenta.”</w:t>
      </w:r>
    </w:p>
    <w:p w14:paraId="1317AA6D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0DF1DF28" w14:textId="77777777" w:rsidR="007D1B57" w:rsidRPr="007D1B57" w:rsidRDefault="007D1B57" w:rsidP="007D1B57">
      <w:pPr>
        <w:numPr>
          <w:ilvl w:val="0"/>
          <w:numId w:val="7"/>
        </w:numPr>
        <w:jc w:val="both"/>
        <w:textAlignment w:val="baseline"/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 xml:space="preserve">De igual forma, el Concepto 003354 – </w:t>
      </w:r>
      <w:proofErr w:type="spellStart"/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int</w:t>
      </w:r>
      <w:proofErr w:type="spellEnd"/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 xml:space="preserve"> 250 de 2025 señaló:</w:t>
      </w:r>
    </w:p>
    <w:p w14:paraId="130AC6EB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F7DE07E" w14:textId="77777777" w:rsidR="007D1B57" w:rsidRPr="007D1B57" w:rsidRDefault="007D1B57" w:rsidP="007D1B57">
      <w:pPr>
        <w:ind w:left="567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“Los titulares de cuentas de ahorro, depósitos electrónicos o tarjetas prepago o administradas tendrán derecho a exigir la aplicación del monto exento a cualquiera de las entidades financieras y/o cooperativas de naturaleza financiera o de ahorro y crédito donde tengan sus cuentas sin que excedan de 350 UVT por mes.”</w:t>
      </w:r>
    </w:p>
    <w:p w14:paraId="3B1A0150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6FB13519" w14:textId="77777777" w:rsidR="007D1B57" w:rsidRPr="00092562" w:rsidRDefault="007D1B57" w:rsidP="007D1B57">
      <w:pPr>
        <w:numPr>
          <w:ilvl w:val="0"/>
          <w:numId w:val="8"/>
        </w:numPr>
        <w:jc w:val="both"/>
        <w:textAlignment w:val="baseline"/>
        <w:rPr>
          <w:rFonts w:ascii="Verdana" w:eastAsia="Times New Roman" w:hAnsi="Verdana" w:cs="Times New Roman"/>
          <w:i/>
          <w:iCs/>
          <w:color w:val="000000"/>
          <w:kern w:val="0"/>
          <w:highlight w:val="yellow"/>
          <w:lang w:val="es-CO" w:eastAsia="es-MX"/>
          <w14:ligatures w14:val="none"/>
        </w:rPr>
      </w:pPr>
      <w:r w:rsidRPr="00092562">
        <w:rPr>
          <w:rFonts w:ascii="Verdana" w:eastAsia="Times New Roman" w:hAnsi="Verdana" w:cs="Times New Roman"/>
          <w:i/>
          <w:iCs/>
          <w:color w:val="000000"/>
          <w:kern w:val="0"/>
          <w:highlight w:val="yellow"/>
          <w:lang w:val="es-CO" w:eastAsia="es-MX"/>
          <w14:ligatures w14:val="none"/>
        </w:rPr>
        <w:lastRenderedPageBreak/>
        <w:t xml:space="preserve">En el evento de que una entidad financiera no haya implementado el sistema de información requerido en el artículo 881-1 y retenga el GMF en condiciones que no correspondan, será aplicable lo dispuesto en el artículo 1.6.1.25.3 del Decreto 1625 de 2016, conforme también lo señala el Concepto 003354 – </w:t>
      </w:r>
      <w:proofErr w:type="spellStart"/>
      <w:r w:rsidRPr="00092562">
        <w:rPr>
          <w:rFonts w:ascii="Verdana" w:eastAsia="Times New Roman" w:hAnsi="Verdana" w:cs="Times New Roman"/>
          <w:i/>
          <w:iCs/>
          <w:color w:val="000000"/>
          <w:kern w:val="0"/>
          <w:highlight w:val="yellow"/>
          <w:lang w:val="es-CO" w:eastAsia="es-MX"/>
          <w14:ligatures w14:val="none"/>
        </w:rPr>
        <w:t>int</w:t>
      </w:r>
      <w:proofErr w:type="spellEnd"/>
      <w:r w:rsidRPr="00092562">
        <w:rPr>
          <w:rFonts w:ascii="Verdana" w:eastAsia="Times New Roman" w:hAnsi="Verdana" w:cs="Times New Roman"/>
          <w:i/>
          <w:iCs/>
          <w:color w:val="000000"/>
          <w:kern w:val="0"/>
          <w:highlight w:val="yellow"/>
          <w:lang w:val="es-CO" w:eastAsia="es-MX"/>
          <w14:ligatures w14:val="none"/>
        </w:rPr>
        <w:t xml:space="preserve"> 250 de 2025:</w:t>
      </w:r>
    </w:p>
    <w:p w14:paraId="7C4EF484" w14:textId="77777777" w:rsidR="007D1B57" w:rsidRPr="00092562" w:rsidRDefault="007D1B57" w:rsidP="007D1B57">
      <w:pPr>
        <w:rPr>
          <w:rFonts w:ascii="Times New Roman" w:eastAsia="Times New Roman" w:hAnsi="Times New Roman" w:cs="Times New Roman"/>
          <w:kern w:val="0"/>
          <w:highlight w:val="yellow"/>
          <w:lang w:val="es-CO" w:eastAsia="es-MX"/>
          <w14:ligatures w14:val="none"/>
        </w:rPr>
      </w:pPr>
    </w:p>
    <w:p w14:paraId="7C07767E" w14:textId="77777777" w:rsidR="007D1B57" w:rsidRPr="007D1B57" w:rsidRDefault="007D1B57" w:rsidP="007D1B57">
      <w:pPr>
        <w:ind w:left="567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92562">
        <w:rPr>
          <w:rFonts w:ascii="Verdana" w:eastAsia="Times New Roman" w:hAnsi="Verdana" w:cs="Times New Roman"/>
          <w:i/>
          <w:iCs/>
          <w:color w:val="000000"/>
          <w:kern w:val="0"/>
          <w:highlight w:val="yellow"/>
          <w:lang w:val="es-CO" w:eastAsia="es-MX"/>
          <w14:ligatures w14:val="none"/>
        </w:rPr>
        <w:t>“Cuando se efectúen retenciones por concepto del impuesto por un valor superior al que ha debido efectuarse, el responsable del recaudo deberá reintegrar los valores retenidos en exceso o indebidamente, previa solicitud escrita del afectado con la retención.”</w:t>
      </w:r>
    </w:p>
    <w:p w14:paraId="4559BA6E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1E51F524" w14:textId="77777777" w:rsidR="007D1B57" w:rsidRPr="007D1B57" w:rsidRDefault="007D1B57" w:rsidP="007D1B57">
      <w:pPr>
        <w:numPr>
          <w:ilvl w:val="0"/>
          <w:numId w:val="9"/>
        </w:numPr>
        <w:jc w:val="both"/>
        <w:textAlignment w:val="baseline"/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En consecuencia, a partir del 13 de diciembre de 2024, las personas naturales tienen derecho a que se aplique la exención del GMF hasta por 350 UVT mensuales en los términos del artículo 879 del Estatuto Tributario, sin necesidad de marcar una única cuenta, y con independencia de la entidad financiera en la que se encuentren sus productos.”</w:t>
      </w:r>
    </w:p>
    <w:p w14:paraId="49361E20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3C2E865F" w14:textId="77777777" w:rsidR="007D1B57" w:rsidRPr="007D1B57" w:rsidRDefault="007D1B57" w:rsidP="007D1B57">
      <w:pPr>
        <w:numPr>
          <w:ilvl w:val="0"/>
          <w:numId w:val="10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Así las cosas, las personas naturales tienen derecho a la exención del GMF que corresponde hasta 350 UVT mensuales, sin importar el número de cuentas que tenga.</w:t>
      </w:r>
    </w:p>
    <w:p w14:paraId="5FE5AEB2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096BC7BF" w14:textId="77777777" w:rsidR="007D1B57" w:rsidRPr="007D1B57" w:rsidRDefault="007D1B57" w:rsidP="007D1B57">
      <w:pPr>
        <w:numPr>
          <w:ilvl w:val="0"/>
          <w:numId w:val="11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En los anteriores términos se absuelve su petición y se recuerda que la normativa, jurisprudencia y doctrina en materia tributaria, aduanera y de fiscalización cambiaria, en lo de competencia de esta Entidad, puede consultarse en el normograma DIAN: </w:t>
      </w:r>
      <w:hyperlink r:id="rId5" w:history="1">
        <w:r w:rsidRPr="007D1B57">
          <w:rPr>
            <w:rFonts w:ascii="Verdana" w:eastAsia="Times New Roman" w:hAnsi="Verdana" w:cs="Times New Roman"/>
            <w:color w:val="000000"/>
            <w:kern w:val="0"/>
            <w:u w:val="single"/>
            <w:lang w:val="es-CO" w:eastAsia="es-MX"/>
            <w14:ligatures w14:val="none"/>
          </w:rPr>
          <w:t>https://normograma.dian.gov.co/dian/.</w:t>
        </w:r>
      </w:hyperlink>
    </w:p>
    <w:p w14:paraId="06DA9F24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C17D6C3" w14:textId="77777777" w:rsidR="007D1B57" w:rsidRPr="007D1B57" w:rsidRDefault="007D1B57" w:rsidP="007D1B5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Atentamente,</w:t>
      </w:r>
    </w:p>
    <w:p w14:paraId="0996B08A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4FF4C5C" w14:textId="77777777" w:rsidR="007D1B57" w:rsidRPr="007D1B57" w:rsidRDefault="007D1B57" w:rsidP="007D1B5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INGRID CASTAÑEDA CEPEDA</w:t>
      </w:r>
    </w:p>
    <w:p w14:paraId="01216867" w14:textId="77777777" w:rsidR="007D1B57" w:rsidRPr="007D1B57" w:rsidRDefault="007D1B57" w:rsidP="007D1B5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Subdirectora de Normativa y Doctrina (A) </w:t>
      </w:r>
    </w:p>
    <w:p w14:paraId="79AED802" w14:textId="77777777" w:rsidR="007D1B57" w:rsidRPr="007D1B57" w:rsidRDefault="007D1B57" w:rsidP="007D1B5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Dirección de Gestión Jurídica</w:t>
      </w:r>
    </w:p>
    <w:p w14:paraId="43A1C574" w14:textId="77777777" w:rsidR="007D1B57" w:rsidRPr="007D1B57" w:rsidRDefault="007D1B57" w:rsidP="007D1B5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Carrera 8 No 6 C -38 Piso 4 Edificio San Agustín </w:t>
      </w:r>
    </w:p>
    <w:p w14:paraId="3020DAC5" w14:textId="77777777" w:rsidR="007D1B57" w:rsidRPr="007D1B57" w:rsidRDefault="007D1B57" w:rsidP="007D1B5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7D1B5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Bogotá, D.C.</w:t>
      </w:r>
    </w:p>
    <w:p w14:paraId="7775730E" w14:textId="77777777" w:rsidR="007D1B57" w:rsidRPr="007D1B57" w:rsidRDefault="007D1B57" w:rsidP="007D1B5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hyperlink r:id="rId6" w:history="1">
        <w:r w:rsidRPr="007D1B57">
          <w:rPr>
            <w:rFonts w:ascii="Verdana" w:eastAsia="Times New Roman" w:hAnsi="Verdana" w:cs="Times New Roman"/>
            <w:color w:val="000000"/>
            <w:kern w:val="0"/>
            <w:u w:val="single"/>
            <w:lang w:val="es-CO" w:eastAsia="es-MX"/>
            <w14:ligatures w14:val="none"/>
          </w:rPr>
          <w:t>www.dian.gov.co</w:t>
        </w:r>
      </w:hyperlink>
    </w:p>
    <w:p w14:paraId="6FCBE8D4" w14:textId="77777777" w:rsidR="007D1B57" w:rsidRPr="007D1B57" w:rsidRDefault="007D1B57" w:rsidP="007D1B5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158BA56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40C01"/>
    <w:multiLevelType w:val="multilevel"/>
    <w:tmpl w:val="803C1C5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827A37"/>
    <w:multiLevelType w:val="multilevel"/>
    <w:tmpl w:val="DAB2777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0C5616"/>
    <w:multiLevelType w:val="multilevel"/>
    <w:tmpl w:val="A2984D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E94BCE"/>
    <w:multiLevelType w:val="multilevel"/>
    <w:tmpl w:val="B2C841B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3777E8"/>
    <w:multiLevelType w:val="multilevel"/>
    <w:tmpl w:val="AAB6AAD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DE11A3B"/>
    <w:multiLevelType w:val="multilevel"/>
    <w:tmpl w:val="FF946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FBB33D1"/>
    <w:multiLevelType w:val="multilevel"/>
    <w:tmpl w:val="3D067FB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02D0E0E"/>
    <w:multiLevelType w:val="multilevel"/>
    <w:tmpl w:val="C9766A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E1C17AE"/>
    <w:multiLevelType w:val="multilevel"/>
    <w:tmpl w:val="3DC8A85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7831F57"/>
    <w:multiLevelType w:val="multilevel"/>
    <w:tmpl w:val="1B8E8E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E7657A3"/>
    <w:multiLevelType w:val="multilevel"/>
    <w:tmpl w:val="A20045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6998746">
    <w:abstractNumId w:val="9"/>
  </w:num>
  <w:num w:numId="2" w16cid:durableId="1066420675">
    <w:abstractNumId w:val="6"/>
    <w:lvlOverride w:ilvl="0">
      <w:lvl w:ilvl="0">
        <w:numFmt w:val="decimal"/>
        <w:lvlText w:val="%1."/>
        <w:lvlJc w:val="left"/>
      </w:lvl>
    </w:lvlOverride>
  </w:num>
  <w:num w:numId="3" w16cid:durableId="748118612">
    <w:abstractNumId w:val="10"/>
    <w:lvlOverride w:ilvl="0">
      <w:lvl w:ilvl="0">
        <w:numFmt w:val="decimal"/>
        <w:lvlText w:val="%1."/>
        <w:lvlJc w:val="left"/>
      </w:lvl>
    </w:lvlOverride>
  </w:num>
  <w:num w:numId="4" w16cid:durableId="1267352204">
    <w:abstractNumId w:val="3"/>
    <w:lvlOverride w:ilvl="0">
      <w:lvl w:ilvl="0">
        <w:numFmt w:val="decimal"/>
        <w:lvlText w:val="%1."/>
        <w:lvlJc w:val="left"/>
      </w:lvl>
    </w:lvlOverride>
  </w:num>
  <w:num w:numId="5" w16cid:durableId="1585605289">
    <w:abstractNumId w:val="4"/>
    <w:lvlOverride w:ilvl="0">
      <w:lvl w:ilvl="0">
        <w:numFmt w:val="decimal"/>
        <w:lvlText w:val="%1."/>
        <w:lvlJc w:val="left"/>
      </w:lvl>
    </w:lvlOverride>
  </w:num>
  <w:num w:numId="6" w16cid:durableId="1840657183">
    <w:abstractNumId w:val="5"/>
  </w:num>
  <w:num w:numId="7" w16cid:durableId="1767648570">
    <w:abstractNumId w:val="8"/>
    <w:lvlOverride w:ilvl="0">
      <w:lvl w:ilvl="0">
        <w:numFmt w:val="decimal"/>
        <w:lvlText w:val="%1."/>
        <w:lvlJc w:val="left"/>
      </w:lvl>
    </w:lvlOverride>
  </w:num>
  <w:num w:numId="8" w16cid:durableId="2130278290">
    <w:abstractNumId w:val="0"/>
    <w:lvlOverride w:ilvl="0">
      <w:lvl w:ilvl="0">
        <w:numFmt w:val="decimal"/>
        <w:lvlText w:val="%1."/>
        <w:lvlJc w:val="left"/>
      </w:lvl>
    </w:lvlOverride>
  </w:num>
  <w:num w:numId="9" w16cid:durableId="1657874967">
    <w:abstractNumId w:val="1"/>
    <w:lvlOverride w:ilvl="0">
      <w:lvl w:ilvl="0">
        <w:numFmt w:val="decimal"/>
        <w:lvlText w:val="%1."/>
        <w:lvlJc w:val="left"/>
      </w:lvl>
    </w:lvlOverride>
  </w:num>
  <w:num w:numId="10" w16cid:durableId="833302255">
    <w:abstractNumId w:val="7"/>
    <w:lvlOverride w:ilvl="0">
      <w:lvl w:ilvl="0">
        <w:numFmt w:val="decimal"/>
        <w:lvlText w:val="%1."/>
        <w:lvlJc w:val="left"/>
      </w:lvl>
    </w:lvlOverride>
  </w:num>
  <w:num w:numId="11" w16cid:durableId="1893074456">
    <w:abstractNumId w:val="2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B57"/>
    <w:rsid w:val="00092562"/>
    <w:rsid w:val="000B2285"/>
    <w:rsid w:val="00537D8F"/>
    <w:rsid w:val="007D1B57"/>
    <w:rsid w:val="00956539"/>
    <w:rsid w:val="00B83A7B"/>
    <w:rsid w:val="00EF0F40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EF63E"/>
  <w14:defaultImageDpi w14:val="32767"/>
  <w15:chartTrackingRefBased/>
  <w15:docId w15:val="{9C611B35-FC25-D447-A31F-1D3BF2C0C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D1B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D1B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D1B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D1B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D1B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D1B5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D1B5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D1B5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D1B5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D1B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D1B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D1B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D1B5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D1B57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D1B5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D1B5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D1B5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D1B5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D1B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D1B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D1B5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D1B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D1B5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D1B5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D1B5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D1B5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D1B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D1B5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D1B57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B5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  <w:style w:type="character" w:customStyle="1" w:styleId="apple-tab-span">
    <w:name w:val="apple-tab-span"/>
    <w:basedOn w:val="Fuentedeprrafopredeter"/>
    <w:rsid w:val="007D1B57"/>
  </w:style>
  <w:style w:type="character" w:styleId="Hipervnculo">
    <w:name w:val="Hyperlink"/>
    <w:basedOn w:val="Fuentedeprrafopredeter"/>
    <w:uiPriority w:val="99"/>
    <w:semiHidden/>
    <w:unhideWhenUsed/>
    <w:rsid w:val="007D1B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dian.gov.co/" TargetMode="External"/><Relationship Id="rId5" Type="http://schemas.openxmlformats.org/officeDocument/2006/relationships/hyperlink" Target="https://normograma.dian.gov.co/dia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856</Words>
  <Characters>4537</Characters>
  <Application>Microsoft Office Word</Application>
  <DocSecurity>0</DocSecurity>
  <Lines>133</Lines>
  <Paragraphs>36</Paragraphs>
  <ScaleCrop>false</ScaleCrop>
  <Company/>
  <LinksUpToDate>false</LinksUpToDate>
  <CharactersWithSpaces>5357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Alejandro Delgado</cp:lastModifiedBy>
  <cp:revision>2</cp:revision>
  <dcterms:created xsi:type="dcterms:W3CDTF">2025-10-24T15:58:00Z</dcterms:created>
  <dcterms:modified xsi:type="dcterms:W3CDTF">2025-11-07T09:44:00Z</dcterms:modified>
</cp:coreProperties>
</file>