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AD4017" w14:textId="77777777" w:rsidR="00D670AE" w:rsidRPr="00D670AE" w:rsidRDefault="00D670AE" w:rsidP="00D670AE">
      <w:pPr>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b/>
          <w:bCs/>
          <w:color w:val="000000"/>
          <w:kern w:val="0"/>
          <w:lang w:val="es-CO" w:eastAsia="es-MX"/>
          <w14:ligatures w14:val="none"/>
        </w:rPr>
        <w:t>CONCEPTO DIAN 1148 DEL 29 DE JULIO DE 2025</w:t>
      </w:r>
    </w:p>
    <w:p w14:paraId="4280A43F" w14:textId="77777777" w:rsidR="00D670AE" w:rsidRPr="00D670AE" w:rsidRDefault="00D670AE" w:rsidP="00D670AE">
      <w:pPr>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b/>
          <w:bCs/>
          <w:color w:val="000000"/>
          <w:kern w:val="0"/>
          <w:lang w:val="es-CO" w:eastAsia="es-MX"/>
          <w14:ligatures w14:val="none"/>
        </w:rPr>
        <w:t>DIRECCIÓN DE IMPUESTOS Y ADUANAS NACIONALES</w:t>
      </w:r>
    </w:p>
    <w:p w14:paraId="5C29E252" w14:textId="77777777" w:rsidR="00D670AE" w:rsidRPr="00D670AE" w:rsidRDefault="00D670AE" w:rsidP="00D670AE">
      <w:pPr>
        <w:rPr>
          <w:rFonts w:ascii="Times New Roman" w:eastAsia="Times New Roman" w:hAnsi="Times New Roman" w:cs="Times New Roman"/>
          <w:kern w:val="0"/>
          <w:lang w:val="es-CO" w:eastAsia="es-MX"/>
          <w14:ligatures w14:val="none"/>
        </w:rPr>
      </w:pPr>
    </w:p>
    <w:p w14:paraId="4DDC5109" w14:textId="77777777" w:rsidR="00D670AE" w:rsidRPr="00D670AE" w:rsidRDefault="00D670AE" w:rsidP="00D670AE">
      <w:pPr>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Bogotá, D.C., 29 de julio de 2025</w:t>
      </w:r>
    </w:p>
    <w:p w14:paraId="181D99AB" w14:textId="77777777" w:rsidR="00D670AE" w:rsidRPr="00D670AE" w:rsidRDefault="00D670AE" w:rsidP="00D670AE">
      <w:pPr>
        <w:rPr>
          <w:rFonts w:ascii="Times New Roman" w:eastAsia="Times New Roman" w:hAnsi="Times New Roman" w:cs="Times New Roman"/>
          <w:kern w:val="0"/>
          <w:lang w:val="es-CO" w:eastAsia="es-MX"/>
          <w14:ligatures w14:val="none"/>
        </w:rPr>
      </w:pPr>
    </w:p>
    <w:p w14:paraId="429CEEF7" w14:textId="77777777" w:rsidR="00D670AE" w:rsidRPr="00D670AE" w:rsidRDefault="00D670AE" w:rsidP="00D670AE">
      <w:pPr>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Tema:</w:t>
      </w:r>
      <w:r w:rsidRPr="00D670AE">
        <w:rPr>
          <w:rFonts w:ascii="Verdana" w:eastAsia="Times New Roman" w:hAnsi="Verdana" w:cs="Times New Roman"/>
          <w:color w:val="000000"/>
          <w:kern w:val="0"/>
          <w:lang w:val="es-CO" w:eastAsia="es-MX"/>
          <w14:ligatures w14:val="none"/>
        </w:rPr>
        <w:tab/>
        <w:t>Impuesto de timbre.</w:t>
      </w:r>
    </w:p>
    <w:p w14:paraId="19885C44" w14:textId="77777777" w:rsidR="00D670AE" w:rsidRPr="00D670AE" w:rsidRDefault="00D670AE" w:rsidP="00D670AE">
      <w:pPr>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Descriptores:</w:t>
      </w:r>
      <w:r w:rsidRPr="00D670AE">
        <w:rPr>
          <w:rFonts w:ascii="Verdana" w:eastAsia="Times New Roman" w:hAnsi="Verdana" w:cs="Times New Roman"/>
          <w:color w:val="000000"/>
          <w:kern w:val="0"/>
          <w:lang w:val="es-CO" w:eastAsia="es-MX"/>
          <w14:ligatures w14:val="none"/>
        </w:rPr>
        <w:tab/>
        <w:t>Causación del impuesto de timbre.</w:t>
      </w:r>
    </w:p>
    <w:p w14:paraId="1F484AB6" w14:textId="77777777" w:rsidR="00D670AE" w:rsidRPr="00D670AE" w:rsidRDefault="00D670AE" w:rsidP="00D670AE">
      <w:pPr>
        <w:ind w:hanging="2268"/>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ab/>
        <w:t>Agentes de retención.</w:t>
      </w:r>
    </w:p>
    <w:p w14:paraId="3366EFD3" w14:textId="77777777" w:rsidR="00D670AE" w:rsidRPr="00D670AE" w:rsidRDefault="00D670AE" w:rsidP="00D670AE">
      <w:pPr>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Fuentes formales:</w:t>
      </w:r>
      <w:r w:rsidRPr="00D670AE">
        <w:rPr>
          <w:rFonts w:ascii="Verdana" w:eastAsia="Times New Roman" w:hAnsi="Verdana" w:cs="Times New Roman"/>
          <w:color w:val="000000"/>
          <w:kern w:val="0"/>
          <w:lang w:val="es-CO" w:eastAsia="es-MX"/>
          <w14:ligatures w14:val="none"/>
        </w:rPr>
        <w:tab/>
        <w:t>Artículo 243 del Código General del Proceso.</w:t>
      </w:r>
    </w:p>
    <w:p w14:paraId="0F0B44FA" w14:textId="77777777" w:rsidR="00D670AE" w:rsidRPr="00D670AE" w:rsidRDefault="00D670AE" w:rsidP="00D670AE">
      <w:pPr>
        <w:ind w:hanging="2268"/>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ab/>
        <w:t xml:space="preserve">Concepto 003406 </w:t>
      </w:r>
      <w:proofErr w:type="spellStart"/>
      <w:r w:rsidRPr="00D670AE">
        <w:rPr>
          <w:rFonts w:ascii="Verdana" w:eastAsia="Times New Roman" w:hAnsi="Verdana" w:cs="Times New Roman"/>
          <w:color w:val="000000"/>
          <w:kern w:val="0"/>
          <w:lang w:val="es-CO" w:eastAsia="es-MX"/>
          <w14:ligatures w14:val="none"/>
        </w:rPr>
        <w:t>int</w:t>
      </w:r>
      <w:proofErr w:type="spellEnd"/>
      <w:r w:rsidRPr="00D670AE">
        <w:rPr>
          <w:rFonts w:ascii="Verdana" w:eastAsia="Times New Roman" w:hAnsi="Verdana" w:cs="Times New Roman"/>
          <w:color w:val="000000"/>
          <w:kern w:val="0"/>
          <w:lang w:val="es-CO" w:eastAsia="es-MX"/>
          <w14:ligatures w14:val="none"/>
        </w:rPr>
        <w:t>. 370 del 19 de marzo de 2025.</w:t>
      </w:r>
    </w:p>
    <w:p w14:paraId="3E61DDB2" w14:textId="77777777" w:rsidR="00D670AE" w:rsidRPr="00D670AE" w:rsidRDefault="00D670AE" w:rsidP="00D670AE">
      <w:pPr>
        <w:ind w:hanging="2268"/>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ab/>
        <w:t xml:space="preserve">Concepto 004063 </w:t>
      </w:r>
      <w:proofErr w:type="spellStart"/>
      <w:r w:rsidRPr="00D670AE">
        <w:rPr>
          <w:rFonts w:ascii="Verdana" w:eastAsia="Times New Roman" w:hAnsi="Verdana" w:cs="Times New Roman"/>
          <w:color w:val="000000"/>
          <w:kern w:val="0"/>
          <w:lang w:val="es-CO" w:eastAsia="es-MX"/>
          <w14:ligatures w14:val="none"/>
        </w:rPr>
        <w:t>int</w:t>
      </w:r>
      <w:proofErr w:type="spellEnd"/>
      <w:r w:rsidRPr="00D670AE">
        <w:rPr>
          <w:rFonts w:ascii="Verdana" w:eastAsia="Times New Roman" w:hAnsi="Verdana" w:cs="Times New Roman"/>
          <w:color w:val="000000"/>
          <w:kern w:val="0"/>
          <w:lang w:val="es-CO" w:eastAsia="es-MX"/>
          <w14:ligatures w14:val="none"/>
        </w:rPr>
        <w:t>. 495 del 04 de abril de 2025.</w:t>
      </w:r>
    </w:p>
    <w:p w14:paraId="4B82DC51" w14:textId="77777777" w:rsidR="00D670AE" w:rsidRPr="00D670AE" w:rsidRDefault="00D670AE" w:rsidP="00D670AE">
      <w:pPr>
        <w:ind w:hanging="2268"/>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ab/>
        <w:t xml:space="preserve">Concepto 003418 </w:t>
      </w:r>
      <w:proofErr w:type="spellStart"/>
      <w:r w:rsidRPr="00D670AE">
        <w:rPr>
          <w:rFonts w:ascii="Verdana" w:eastAsia="Times New Roman" w:hAnsi="Verdana" w:cs="Times New Roman"/>
          <w:color w:val="000000"/>
          <w:kern w:val="0"/>
          <w:lang w:val="es-CO" w:eastAsia="es-MX"/>
          <w14:ligatures w14:val="none"/>
        </w:rPr>
        <w:t>int</w:t>
      </w:r>
      <w:proofErr w:type="spellEnd"/>
      <w:r w:rsidRPr="00D670AE">
        <w:rPr>
          <w:rFonts w:ascii="Verdana" w:eastAsia="Times New Roman" w:hAnsi="Verdana" w:cs="Times New Roman"/>
          <w:color w:val="000000"/>
          <w:kern w:val="0"/>
          <w:lang w:val="es-CO" w:eastAsia="es-MX"/>
          <w14:ligatures w14:val="none"/>
        </w:rPr>
        <w:t>. 265 del 25 de febrero de 2025.</w:t>
      </w:r>
    </w:p>
    <w:p w14:paraId="764AE36B" w14:textId="77777777" w:rsidR="00D670AE" w:rsidRPr="00D670AE" w:rsidRDefault="00D670AE" w:rsidP="00D670AE">
      <w:pPr>
        <w:rPr>
          <w:rFonts w:ascii="Times New Roman" w:eastAsia="Times New Roman" w:hAnsi="Times New Roman" w:cs="Times New Roman"/>
          <w:kern w:val="0"/>
          <w:lang w:val="es-CO" w:eastAsia="es-MX"/>
          <w14:ligatures w14:val="none"/>
        </w:rPr>
      </w:pPr>
    </w:p>
    <w:p w14:paraId="32037177" w14:textId="77777777" w:rsidR="00D670AE" w:rsidRPr="00D670AE" w:rsidRDefault="00D670AE" w:rsidP="00D670AE">
      <w:pPr>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Cordial saludo:</w:t>
      </w:r>
    </w:p>
    <w:p w14:paraId="4924A3CB" w14:textId="77777777" w:rsidR="00D670AE" w:rsidRPr="00D670AE" w:rsidRDefault="00D670AE" w:rsidP="00D670AE">
      <w:pPr>
        <w:rPr>
          <w:rFonts w:ascii="Times New Roman" w:eastAsia="Times New Roman" w:hAnsi="Times New Roman" w:cs="Times New Roman"/>
          <w:kern w:val="0"/>
          <w:lang w:val="es-CO" w:eastAsia="es-MX"/>
          <w14:ligatures w14:val="none"/>
        </w:rPr>
      </w:pPr>
      <w:r w:rsidRPr="00D670AE">
        <w:rPr>
          <w:rFonts w:ascii="Times New Roman" w:eastAsia="Times New Roman" w:hAnsi="Times New Roman" w:cs="Times New Roman"/>
          <w:kern w:val="0"/>
          <w:lang w:val="es-CO" w:eastAsia="es-MX"/>
          <w14:ligatures w14:val="none"/>
        </w:rPr>
        <w:br/>
      </w:r>
    </w:p>
    <w:p w14:paraId="1DAC7A1D" w14:textId="77777777" w:rsidR="00D670AE" w:rsidRPr="00D670AE" w:rsidRDefault="00D670AE" w:rsidP="00D670AE">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D670AE">
        <w:rPr>
          <w:rFonts w:ascii="Verdana" w:eastAsia="Times New Roman" w:hAnsi="Verdana" w:cs="Times New Roman"/>
          <w:color w:val="000000"/>
          <w:kern w:val="0"/>
          <w:lang w:val="es-CO" w:eastAsia="es-MX"/>
          <w14:ligatures w14:val="none"/>
        </w:rPr>
        <w:t>Esta Subdirección está facultada para resolver las consultas escritas, presentadas de manera general, sobre la interpretación y aplicación de las normas tributarias, aduaneras y de fiscalización cambiaria, en lo de competencia de la DIAN</w:t>
      </w:r>
      <w:r w:rsidRPr="00D670AE">
        <w:rPr>
          <w:rFonts w:ascii="Verdana" w:eastAsia="Times New Roman" w:hAnsi="Verdana" w:cs="Times New Roman"/>
          <w:color w:val="000000"/>
          <w:kern w:val="0"/>
          <w:sz w:val="14"/>
          <w:szCs w:val="14"/>
          <w:vertAlign w:val="superscript"/>
          <w:lang w:val="es-CO" w:eastAsia="es-MX"/>
          <w14:ligatures w14:val="none"/>
        </w:rPr>
        <w:t>1</w:t>
      </w:r>
      <w:r w:rsidRPr="00D670AE">
        <w:rPr>
          <w:rFonts w:ascii="Verdana" w:eastAsia="Times New Roman" w:hAnsi="Verdana" w:cs="Times New Roman"/>
          <w:color w:val="000000"/>
          <w:kern w:val="0"/>
          <w:lang w:val="es-CO" w:eastAsia="es-MX"/>
          <w14:ligatures w14:val="none"/>
        </w:rPr>
        <w:t>. En este sentido, la doctrina emitida será de carácter general, no se referirá a asuntos particulares y se someterá a lo consagrado en el artículo 131 de la Ley 2010 de 2019</w:t>
      </w:r>
      <w:r w:rsidRPr="00D670AE">
        <w:rPr>
          <w:rFonts w:ascii="Verdana" w:eastAsia="Times New Roman" w:hAnsi="Verdana" w:cs="Times New Roman"/>
          <w:color w:val="000000"/>
          <w:kern w:val="0"/>
          <w:sz w:val="14"/>
          <w:szCs w:val="14"/>
          <w:vertAlign w:val="superscript"/>
          <w:lang w:val="es-CO" w:eastAsia="es-MX"/>
          <w14:ligatures w14:val="none"/>
        </w:rPr>
        <w:t>2</w:t>
      </w:r>
      <w:r w:rsidRPr="00D670AE">
        <w:rPr>
          <w:rFonts w:ascii="Verdana" w:eastAsia="Times New Roman" w:hAnsi="Verdana" w:cs="Times New Roman"/>
          <w:color w:val="000000"/>
          <w:kern w:val="0"/>
          <w:lang w:val="es-CO" w:eastAsia="es-MX"/>
          <w14:ligatures w14:val="none"/>
        </w:rPr>
        <w:t>.</w:t>
      </w:r>
    </w:p>
    <w:p w14:paraId="7CD57C6E" w14:textId="77777777" w:rsidR="00D670AE" w:rsidRPr="00D670AE" w:rsidRDefault="00D670AE" w:rsidP="00D670AE">
      <w:pPr>
        <w:rPr>
          <w:rFonts w:ascii="Times New Roman" w:eastAsia="Times New Roman" w:hAnsi="Times New Roman" w:cs="Times New Roman"/>
          <w:kern w:val="0"/>
          <w:lang w:val="es-CO" w:eastAsia="es-MX"/>
          <w14:ligatures w14:val="none"/>
        </w:rPr>
      </w:pPr>
      <w:r w:rsidRPr="00D670AE">
        <w:rPr>
          <w:rFonts w:ascii="Times New Roman" w:eastAsia="Times New Roman" w:hAnsi="Times New Roman" w:cs="Times New Roman"/>
          <w:kern w:val="0"/>
          <w:lang w:val="es-CO" w:eastAsia="es-MX"/>
          <w14:ligatures w14:val="none"/>
        </w:rPr>
        <w:br/>
      </w:r>
    </w:p>
    <w:p w14:paraId="25137642" w14:textId="77777777" w:rsidR="00D670AE" w:rsidRPr="00D670AE" w:rsidRDefault="00D670AE" w:rsidP="00D670AE">
      <w:pPr>
        <w:numPr>
          <w:ilvl w:val="0"/>
          <w:numId w:val="2"/>
        </w:numPr>
        <w:jc w:val="both"/>
        <w:textAlignment w:val="baseline"/>
        <w:rPr>
          <w:rFonts w:ascii="Verdana" w:eastAsia="Times New Roman" w:hAnsi="Verdana" w:cs="Times New Roman"/>
          <w:color w:val="000000"/>
          <w:kern w:val="0"/>
          <w:lang w:val="es-CO" w:eastAsia="es-MX"/>
          <w14:ligatures w14:val="none"/>
        </w:rPr>
      </w:pPr>
      <w:r w:rsidRPr="00D670AE">
        <w:rPr>
          <w:rFonts w:ascii="Verdana" w:eastAsia="Times New Roman" w:hAnsi="Verdana" w:cs="Times New Roman"/>
          <w:color w:val="000000"/>
          <w:kern w:val="0"/>
          <w:lang w:val="es-CO" w:eastAsia="es-MX"/>
          <w14:ligatures w14:val="none"/>
        </w:rPr>
        <w:t>Mediante el radicado de la referencia, se formularon varias inquietudes relativas a la aplicación del impuesto de timbre. A través del oficio 100208192– 1146 del 30/07/2025 esta subdirección dio respuesta a los problemas jurídicos allí identificados, de forma tal que en el presente oficio se dará alcance, a fin de atender las demás interrogantes planteadas en su escrito, las cuales se sintetizan así:</w:t>
      </w:r>
    </w:p>
    <w:p w14:paraId="76AC83D6" w14:textId="77777777" w:rsidR="00D670AE" w:rsidRPr="00D670AE" w:rsidRDefault="00D670AE" w:rsidP="00D670AE">
      <w:pPr>
        <w:rPr>
          <w:rFonts w:ascii="Times New Roman" w:eastAsia="Times New Roman" w:hAnsi="Times New Roman" w:cs="Times New Roman"/>
          <w:kern w:val="0"/>
          <w:lang w:val="es-CO" w:eastAsia="es-MX"/>
          <w14:ligatures w14:val="none"/>
        </w:rPr>
      </w:pPr>
      <w:r w:rsidRPr="00D670AE">
        <w:rPr>
          <w:rFonts w:ascii="Times New Roman" w:eastAsia="Times New Roman" w:hAnsi="Times New Roman" w:cs="Times New Roman"/>
          <w:kern w:val="0"/>
          <w:lang w:val="es-CO" w:eastAsia="es-MX"/>
          <w14:ligatures w14:val="none"/>
        </w:rPr>
        <w:br/>
      </w:r>
    </w:p>
    <w:p w14:paraId="534A9BFB" w14:textId="77777777" w:rsidR="00D670AE" w:rsidRPr="00D670AE" w:rsidRDefault="00D670AE" w:rsidP="00D670AE">
      <w:pPr>
        <w:numPr>
          <w:ilvl w:val="0"/>
          <w:numId w:val="3"/>
        </w:numPr>
        <w:jc w:val="both"/>
        <w:textAlignment w:val="baseline"/>
        <w:rPr>
          <w:rFonts w:ascii="Verdana" w:eastAsia="Times New Roman" w:hAnsi="Verdana" w:cs="Times New Roman"/>
          <w:color w:val="000000"/>
          <w:kern w:val="0"/>
          <w:lang w:val="es-CO" w:eastAsia="es-MX"/>
          <w14:ligatures w14:val="none"/>
        </w:rPr>
      </w:pPr>
      <w:r w:rsidRPr="00D670AE">
        <w:rPr>
          <w:rFonts w:ascii="Verdana" w:eastAsia="Times New Roman" w:hAnsi="Verdana" w:cs="Times New Roman"/>
          <w:color w:val="000000"/>
          <w:kern w:val="0"/>
          <w:lang w:val="es-CO" w:eastAsia="es-MX"/>
          <w14:ligatures w14:val="none"/>
        </w:rPr>
        <w:t>¿Cuál es la definición de «documento» para efectos del impuesto de timbre?</w:t>
      </w:r>
    </w:p>
    <w:p w14:paraId="704ED3F5" w14:textId="77777777" w:rsidR="00D670AE" w:rsidRPr="00D670AE" w:rsidRDefault="00D670AE" w:rsidP="00D670AE">
      <w:pPr>
        <w:numPr>
          <w:ilvl w:val="0"/>
          <w:numId w:val="4"/>
        </w:numPr>
        <w:jc w:val="both"/>
        <w:textAlignment w:val="baseline"/>
        <w:rPr>
          <w:rFonts w:ascii="Verdana" w:eastAsia="Times New Roman" w:hAnsi="Verdana" w:cs="Times New Roman"/>
          <w:color w:val="000000"/>
          <w:kern w:val="0"/>
          <w:lang w:val="es-CO" w:eastAsia="es-MX"/>
          <w14:ligatures w14:val="none"/>
        </w:rPr>
      </w:pPr>
      <w:r w:rsidRPr="00D670AE">
        <w:rPr>
          <w:rFonts w:ascii="Verdana" w:eastAsia="Times New Roman" w:hAnsi="Verdana" w:cs="Times New Roman"/>
          <w:color w:val="000000"/>
          <w:kern w:val="0"/>
          <w:lang w:val="es-CO" w:eastAsia="es-MX"/>
          <w14:ligatures w14:val="none"/>
        </w:rPr>
        <w:t>¿Cómo se lleva a cabo la declaración y pago del impuesto de timbre en contratos de cuantía indeterminada, considerando que este se causa sobre cada pago o abono en cuenta, y que el artículo 519 del Estatuto Tributario dispone que la cuantía del documento debe superar las seis mil (6.000) UVT para su causación?</w:t>
      </w:r>
    </w:p>
    <w:p w14:paraId="1B264DCD" w14:textId="77777777" w:rsidR="00D670AE" w:rsidRPr="00D670AE" w:rsidRDefault="00D670AE" w:rsidP="00D670AE">
      <w:pPr>
        <w:numPr>
          <w:ilvl w:val="0"/>
          <w:numId w:val="5"/>
        </w:numPr>
        <w:jc w:val="both"/>
        <w:textAlignment w:val="baseline"/>
        <w:rPr>
          <w:rFonts w:ascii="Verdana" w:eastAsia="Times New Roman" w:hAnsi="Verdana" w:cs="Times New Roman"/>
          <w:color w:val="000000"/>
          <w:kern w:val="0"/>
          <w:lang w:val="es-CO" w:eastAsia="es-MX"/>
          <w14:ligatures w14:val="none"/>
        </w:rPr>
      </w:pPr>
      <w:r w:rsidRPr="00D670AE">
        <w:rPr>
          <w:rFonts w:ascii="Verdana" w:eastAsia="Times New Roman" w:hAnsi="Verdana" w:cs="Times New Roman"/>
          <w:color w:val="000000"/>
          <w:kern w:val="0"/>
          <w:lang w:val="es-CO" w:eastAsia="es-MX"/>
          <w14:ligatures w14:val="none"/>
        </w:rPr>
        <w:t>¿Los sujetos pasivos del impuesto de timbre que intervienen en un documento sometido al impuesto pueden acreditar el pago del impuesto que fue retenido y declarado en su totalidad por otro de los intervinientes que funge como agente de retención?</w:t>
      </w:r>
    </w:p>
    <w:p w14:paraId="27836540" w14:textId="77777777" w:rsidR="00D670AE" w:rsidRPr="00D670AE" w:rsidRDefault="00D670AE" w:rsidP="00D670AE">
      <w:pPr>
        <w:rPr>
          <w:rFonts w:ascii="Times New Roman" w:eastAsia="Times New Roman" w:hAnsi="Times New Roman" w:cs="Times New Roman"/>
          <w:kern w:val="0"/>
          <w:lang w:val="es-CO" w:eastAsia="es-MX"/>
          <w14:ligatures w14:val="none"/>
        </w:rPr>
      </w:pPr>
      <w:r w:rsidRPr="00D670AE">
        <w:rPr>
          <w:rFonts w:ascii="Times New Roman" w:eastAsia="Times New Roman" w:hAnsi="Times New Roman" w:cs="Times New Roman"/>
          <w:kern w:val="0"/>
          <w:lang w:val="es-CO" w:eastAsia="es-MX"/>
          <w14:ligatures w14:val="none"/>
        </w:rPr>
        <w:br/>
      </w:r>
    </w:p>
    <w:p w14:paraId="76D00F6E" w14:textId="77777777" w:rsidR="00D670AE" w:rsidRPr="00D670AE" w:rsidRDefault="00D670AE" w:rsidP="00D670AE">
      <w:pPr>
        <w:numPr>
          <w:ilvl w:val="0"/>
          <w:numId w:val="6"/>
        </w:numPr>
        <w:jc w:val="both"/>
        <w:textAlignment w:val="baseline"/>
        <w:rPr>
          <w:rFonts w:ascii="Verdana" w:eastAsia="Times New Roman" w:hAnsi="Verdana" w:cs="Times New Roman"/>
          <w:color w:val="000000"/>
          <w:kern w:val="0"/>
          <w:lang w:val="es-CO" w:eastAsia="es-MX"/>
          <w14:ligatures w14:val="none"/>
        </w:rPr>
      </w:pPr>
      <w:r w:rsidRPr="00D670AE">
        <w:rPr>
          <w:rFonts w:ascii="Verdana" w:eastAsia="Times New Roman" w:hAnsi="Verdana" w:cs="Times New Roman"/>
          <w:color w:val="000000"/>
          <w:kern w:val="0"/>
          <w:lang w:val="es-CO" w:eastAsia="es-MX"/>
          <w14:ligatures w14:val="none"/>
        </w:rPr>
        <w:lastRenderedPageBreak/>
        <w:t xml:space="preserve">Frente al primer interrogante, el Concepto 003406 </w:t>
      </w:r>
      <w:proofErr w:type="spellStart"/>
      <w:r w:rsidRPr="00D670AE">
        <w:rPr>
          <w:rFonts w:ascii="Verdana" w:eastAsia="Times New Roman" w:hAnsi="Verdana" w:cs="Times New Roman"/>
          <w:color w:val="000000"/>
          <w:kern w:val="0"/>
          <w:lang w:val="es-CO" w:eastAsia="es-MX"/>
          <w14:ligatures w14:val="none"/>
        </w:rPr>
        <w:t>int</w:t>
      </w:r>
      <w:proofErr w:type="spellEnd"/>
      <w:r w:rsidRPr="00D670AE">
        <w:rPr>
          <w:rFonts w:ascii="Verdana" w:eastAsia="Times New Roman" w:hAnsi="Verdana" w:cs="Times New Roman"/>
          <w:color w:val="000000"/>
          <w:kern w:val="0"/>
          <w:lang w:val="es-CO" w:eastAsia="es-MX"/>
          <w14:ligatures w14:val="none"/>
        </w:rPr>
        <w:t>. 370 del 19 de marzo de 2025 se refirió a la definición de «documento» para efectos del impuesto de timbre, en los siguientes términos:</w:t>
      </w:r>
    </w:p>
    <w:p w14:paraId="26ECDE3B" w14:textId="77777777" w:rsidR="00D670AE" w:rsidRPr="00D670AE" w:rsidRDefault="00D670AE" w:rsidP="00D670AE">
      <w:pPr>
        <w:rPr>
          <w:rFonts w:ascii="Times New Roman" w:eastAsia="Times New Roman" w:hAnsi="Times New Roman" w:cs="Times New Roman"/>
          <w:kern w:val="0"/>
          <w:lang w:val="es-CO" w:eastAsia="es-MX"/>
          <w14:ligatures w14:val="none"/>
        </w:rPr>
      </w:pPr>
    </w:p>
    <w:p w14:paraId="68164D3B" w14:textId="77777777" w:rsidR="00D670AE" w:rsidRPr="00D670AE" w:rsidRDefault="00D670AE" w:rsidP="00D670AE">
      <w:pPr>
        <w:ind w:left="567"/>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“5. El Estatuto Tributario, y en particular el Libro Cuarto en lo relativo al Impuesto de Timbre nacional, no contiene definición alguna sobre documentos públicos y privados. Así, para su definición general y aplicabilidad en el sistema tributario colombiano, es necesario acudir al artículo 243 del Código General del Proceso (Ley 1564 de 2012). Este artículo, que reemplazó el artículo 251 del Código de Procedimiento Civil</w:t>
      </w:r>
      <w:r w:rsidRPr="00D670AE">
        <w:rPr>
          <w:rFonts w:ascii="Verdana" w:eastAsia="Times New Roman" w:hAnsi="Verdana" w:cs="Times New Roman"/>
          <w:color w:val="000000"/>
          <w:kern w:val="0"/>
          <w:sz w:val="14"/>
          <w:szCs w:val="14"/>
          <w:vertAlign w:val="superscript"/>
          <w:lang w:val="es-CO" w:eastAsia="es-MX"/>
          <w14:ligatures w14:val="none"/>
        </w:rPr>
        <w:t>3</w:t>
      </w:r>
      <w:r w:rsidRPr="00D670AE">
        <w:rPr>
          <w:rFonts w:ascii="Verdana" w:eastAsia="Times New Roman" w:hAnsi="Verdana" w:cs="Times New Roman"/>
          <w:color w:val="000000"/>
          <w:kern w:val="0"/>
          <w:lang w:val="es-CO" w:eastAsia="es-MX"/>
          <w14:ligatures w14:val="none"/>
        </w:rPr>
        <w:t>, afirma:</w:t>
      </w:r>
    </w:p>
    <w:p w14:paraId="3A9DBB6F" w14:textId="77777777" w:rsidR="00D670AE" w:rsidRPr="00D670AE" w:rsidRDefault="00D670AE" w:rsidP="00D670AE">
      <w:pPr>
        <w:rPr>
          <w:rFonts w:ascii="Times New Roman" w:eastAsia="Times New Roman" w:hAnsi="Times New Roman" w:cs="Times New Roman"/>
          <w:kern w:val="0"/>
          <w:lang w:val="es-CO" w:eastAsia="es-MX"/>
          <w14:ligatures w14:val="none"/>
        </w:rPr>
      </w:pPr>
    </w:p>
    <w:p w14:paraId="502C537C" w14:textId="77777777" w:rsidR="00D670AE" w:rsidRPr="00D670AE" w:rsidRDefault="00D670AE" w:rsidP="00D670AE">
      <w:pPr>
        <w:ind w:left="1134"/>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ARTÍCULO 243. DISTINTAS CLASES DE DOCUMENTOS. Son documentos los escritos, impresos, planos, dibujos, cuadros, mensajes de datos, fotografías, cintas cinematográficas, discos, grabaciones magnetofónicas, videograbaciones, radiografías, talones, contraseñas, cupones, etiquetas, sellos y, en general, todo objeto mueble que tenga carácter representativo o declarativo, y las inscripciones en lápidas, monumentos, edificios o similares.</w:t>
      </w:r>
    </w:p>
    <w:p w14:paraId="4F8BA4CC" w14:textId="77777777" w:rsidR="00D670AE" w:rsidRPr="00D670AE" w:rsidRDefault="00D670AE" w:rsidP="00D670AE">
      <w:pPr>
        <w:rPr>
          <w:rFonts w:ascii="Times New Roman" w:eastAsia="Times New Roman" w:hAnsi="Times New Roman" w:cs="Times New Roman"/>
          <w:kern w:val="0"/>
          <w:lang w:val="es-CO" w:eastAsia="es-MX"/>
          <w14:ligatures w14:val="none"/>
        </w:rPr>
      </w:pPr>
    </w:p>
    <w:p w14:paraId="3B3DFD67" w14:textId="77777777" w:rsidR="00D670AE" w:rsidRPr="00D670AE" w:rsidRDefault="00D670AE" w:rsidP="00D670AE">
      <w:pPr>
        <w:ind w:left="1134"/>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Los documentos son públicos o privados. Documento público es el otorgado por el funcionario público en ejercicio de sus funciones o con su intervención. Así mismo, es público el documento otorgado por un particular en ejercicio de funciones públicas o con su intervención. Cuando consiste en un escrito autorizado o suscrito por el respectivo funcionario, es instrumento público; cuando es autorizado por un notario o quien haga sus veces y ha sido incorporado en el respectivo protocolo, se denomina escritura pública.</w:t>
      </w:r>
    </w:p>
    <w:p w14:paraId="542F2358" w14:textId="77777777" w:rsidR="00D670AE" w:rsidRPr="00D670AE" w:rsidRDefault="00D670AE" w:rsidP="00D670AE">
      <w:pPr>
        <w:rPr>
          <w:rFonts w:ascii="Times New Roman" w:eastAsia="Times New Roman" w:hAnsi="Times New Roman" w:cs="Times New Roman"/>
          <w:kern w:val="0"/>
          <w:lang w:val="es-CO" w:eastAsia="es-MX"/>
          <w14:ligatures w14:val="none"/>
        </w:rPr>
      </w:pPr>
    </w:p>
    <w:p w14:paraId="2F6BD963" w14:textId="77777777" w:rsidR="00D670AE" w:rsidRPr="00D670AE" w:rsidRDefault="00D670AE" w:rsidP="00D670AE">
      <w:pPr>
        <w:ind w:left="567"/>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6. En esta medida, los documentos son “los escritos, impresos, planos, dibujos, cuadros, mensajes de datos, fotografías, cintas cinematográficas, discos, grabaciones magnetofónicas, videograbaciones, radiografías, talones, contraseñas, cupones, etiquetas, sellos y, en general, todo objeto mueble que tenga carácter representativo o declarativo, y las inscripciones en lápidas, monumentos, edificios o similares.”</w:t>
      </w:r>
    </w:p>
    <w:p w14:paraId="577F6C73" w14:textId="77777777" w:rsidR="00D670AE" w:rsidRPr="00D670AE" w:rsidRDefault="00D670AE" w:rsidP="00D670AE">
      <w:pPr>
        <w:rPr>
          <w:rFonts w:ascii="Times New Roman" w:eastAsia="Times New Roman" w:hAnsi="Times New Roman" w:cs="Times New Roman"/>
          <w:kern w:val="0"/>
          <w:lang w:val="es-CO" w:eastAsia="es-MX"/>
          <w14:ligatures w14:val="none"/>
        </w:rPr>
      </w:pPr>
    </w:p>
    <w:p w14:paraId="4E706E8A" w14:textId="77777777" w:rsidR="00D670AE" w:rsidRPr="00D670AE" w:rsidRDefault="00D670AE" w:rsidP="00D670AE">
      <w:pPr>
        <w:ind w:left="567"/>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7. Por su parte, —y considerando lo dispuesto en el inciso segundo del artículo 243 precitado— los documentos privados son aquellos que reflejan acuerdos entre partes sin la intervención de una autoridad, ya sea para su otorgamiento o formación. (…)”</w:t>
      </w:r>
    </w:p>
    <w:p w14:paraId="4A4D7A26" w14:textId="77777777" w:rsidR="00D670AE" w:rsidRPr="00D670AE" w:rsidRDefault="00D670AE" w:rsidP="00D670AE">
      <w:pPr>
        <w:rPr>
          <w:rFonts w:ascii="Times New Roman" w:eastAsia="Times New Roman" w:hAnsi="Times New Roman" w:cs="Times New Roman"/>
          <w:kern w:val="0"/>
          <w:lang w:val="es-CO" w:eastAsia="es-MX"/>
          <w14:ligatures w14:val="none"/>
        </w:rPr>
      </w:pPr>
      <w:r w:rsidRPr="00D670AE">
        <w:rPr>
          <w:rFonts w:ascii="Times New Roman" w:eastAsia="Times New Roman" w:hAnsi="Times New Roman" w:cs="Times New Roman"/>
          <w:kern w:val="0"/>
          <w:lang w:val="es-CO" w:eastAsia="es-MX"/>
          <w14:ligatures w14:val="none"/>
        </w:rPr>
        <w:lastRenderedPageBreak/>
        <w:br/>
      </w:r>
    </w:p>
    <w:p w14:paraId="1953F1BA" w14:textId="77777777" w:rsidR="00D670AE" w:rsidRPr="00D670AE" w:rsidRDefault="00D670AE" w:rsidP="00D670AE">
      <w:pPr>
        <w:numPr>
          <w:ilvl w:val="0"/>
          <w:numId w:val="7"/>
        </w:numPr>
        <w:jc w:val="both"/>
        <w:textAlignment w:val="baseline"/>
        <w:rPr>
          <w:rFonts w:ascii="Verdana" w:eastAsia="Times New Roman" w:hAnsi="Verdana" w:cs="Times New Roman"/>
          <w:color w:val="000000"/>
          <w:kern w:val="0"/>
          <w:lang w:val="es-CO" w:eastAsia="es-MX"/>
          <w14:ligatures w14:val="none"/>
        </w:rPr>
      </w:pPr>
      <w:r w:rsidRPr="00D670AE">
        <w:rPr>
          <w:rFonts w:ascii="Verdana" w:eastAsia="Times New Roman" w:hAnsi="Verdana" w:cs="Times New Roman"/>
          <w:color w:val="000000"/>
          <w:kern w:val="0"/>
          <w:lang w:val="es-CO" w:eastAsia="es-MX"/>
          <w14:ligatures w14:val="none"/>
        </w:rPr>
        <w:t xml:space="preserve">En relación con la declaración y pago del impuesto de timbre cuando se trata de un contrato de cuantía indeterminada, el Concepto 004063 </w:t>
      </w:r>
      <w:proofErr w:type="spellStart"/>
      <w:r w:rsidRPr="00D670AE">
        <w:rPr>
          <w:rFonts w:ascii="Verdana" w:eastAsia="Times New Roman" w:hAnsi="Verdana" w:cs="Times New Roman"/>
          <w:color w:val="000000"/>
          <w:kern w:val="0"/>
          <w:lang w:val="es-CO" w:eastAsia="es-MX"/>
          <w14:ligatures w14:val="none"/>
        </w:rPr>
        <w:t>int</w:t>
      </w:r>
      <w:proofErr w:type="spellEnd"/>
      <w:r w:rsidRPr="00D670AE">
        <w:rPr>
          <w:rFonts w:ascii="Verdana" w:eastAsia="Times New Roman" w:hAnsi="Verdana" w:cs="Times New Roman"/>
          <w:color w:val="000000"/>
          <w:kern w:val="0"/>
          <w:lang w:val="es-CO" w:eastAsia="es-MX"/>
          <w14:ligatures w14:val="none"/>
        </w:rPr>
        <w:t>. 495 del 04 de abril de 2025 indicó lo siguiente:</w:t>
      </w:r>
    </w:p>
    <w:p w14:paraId="446D31F4" w14:textId="77777777" w:rsidR="00D670AE" w:rsidRPr="00D670AE" w:rsidRDefault="00D670AE" w:rsidP="00D670AE">
      <w:pPr>
        <w:rPr>
          <w:rFonts w:ascii="Times New Roman" w:eastAsia="Times New Roman" w:hAnsi="Times New Roman" w:cs="Times New Roman"/>
          <w:kern w:val="0"/>
          <w:lang w:val="es-CO" w:eastAsia="es-MX"/>
          <w14:ligatures w14:val="none"/>
        </w:rPr>
      </w:pPr>
    </w:p>
    <w:p w14:paraId="2C223F20" w14:textId="77777777" w:rsidR="00D670AE" w:rsidRPr="00D670AE" w:rsidRDefault="00D670AE" w:rsidP="00D670AE">
      <w:pPr>
        <w:ind w:left="567"/>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“26. Siendo así, los agentes de retención del impuesto de timbre deberán realizar la presentación y pago de la declaración sobre el impuesto que se haya causado en el respectivo periodo mensual</w:t>
      </w:r>
      <w:r w:rsidRPr="00D670AE">
        <w:rPr>
          <w:rFonts w:ascii="Verdana" w:eastAsia="Times New Roman" w:hAnsi="Verdana" w:cs="Times New Roman"/>
          <w:color w:val="000000"/>
          <w:kern w:val="0"/>
          <w:sz w:val="14"/>
          <w:szCs w:val="14"/>
          <w:vertAlign w:val="superscript"/>
          <w:lang w:val="es-CO" w:eastAsia="es-MX"/>
          <w14:ligatures w14:val="none"/>
        </w:rPr>
        <w:t>4</w:t>
      </w:r>
      <w:r w:rsidRPr="00D670AE">
        <w:rPr>
          <w:rFonts w:ascii="Verdana" w:eastAsia="Times New Roman" w:hAnsi="Verdana" w:cs="Times New Roman"/>
          <w:color w:val="000000"/>
          <w:kern w:val="0"/>
          <w:lang w:val="es-CO" w:eastAsia="es-MX"/>
          <w14:ligatures w14:val="none"/>
        </w:rPr>
        <w:t>, y tales declaraciones deberán llevarse a cabo en los plazos y condiciones establecidas en el artículo 1.6.1.13.2.33. del DUR 1625 de 2016</w:t>
      </w:r>
      <w:r w:rsidRPr="00D670AE">
        <w:rPr>
          <w:rFonts w:ascii="Verdana" w:eastAsia="Times New Roman" w:hAnsi="Verdana" w:cs="Times New Roman"/>
          <w:color w:val="000000"/>
          <w:kern w:val="0"/>
          <w:sz w:val="14"/>
          <w:szCs w:val="14"/>
          <w:vertAlign w:val="superscript"/>
          <w:lang w:val="es-CO" w:eastAsia="es-MX"/>
          <w14:ligatures w14:val="none"/>
        </w:rPr>
        <w:t>5</w:t>
      </w:r>
      <w:r w:rsidRPr="00D670AE">
        <w:rPr>
          <w:rFonts w:ascii="Verdana" w:eastAsia="Times New Roman" w:hAnsi="Verdana" w:cs="Times New Roman"/>
          <w:color w:val="000000"/>
          <w:kern w:val="0"/>
          <w:lang w:val="es-CO" w:eastAsia="es-MX"/>
          <w14:ligatures w14:val="none"/>
        </w:rPr>
        <w:t>, en los formularios prescritos por la DIAN para ello</w:t>
      </w:r>
      <w:r w:rsidRPr="00D670AE">
        <w:rPr>
          <w:rFonts w:ascii="Verdana" w:eastAsia="Times New Roman" w:hAnsi="Verdana" w:cs="Times New Roman"/>
          <w:color w:val="000000"/>
          <w:kern w:val="0"/>
          <w:sz w:val="14"/>
          <w:szCs w:val="14"/>
          <w:vertAlign w:val="superscript"/>
          <w:lang w:val="es-CO" w:eastAsia="es-MX"/>
          <w14:ligatures w14:val="none"/>
        </w:rPr>
        <w:t>6</w:t>
      </w:r>
      <w:r w:rsidRPr="00D670AE">
        <w:rPr>
          <w:rFonts w:ascii="Verdana" w:eastAsia="Times New Roman" w:hAnsi="Verdana" w:cs="Times New Roman"/>
          <w:color w:val="000000"/>
          <w:kern w:val="0"/>
          <w:lang w:val="es-CO" w:eastAsia="es-MX"/>
          <w14:ligatures w14:val="none"/>
        </w:rPr>
        <w:t>.</w:t>
      </w:r>
    </w:p>
    <w:p w14:paraId="38DC6E2A" w14:textId="77777777" w:rsidR="00D670AE" w:rsidRPr="00D670AE" w:rsidRDefault="00D670AE" w:rsidP="00D670AE">
      <w:pPr>
        <w:rPr>
          <w:rFonts w:ascii="Times New Roman" w:eastAsia="Times New Roman" w:hAnsi="Times New Roman" w:cs="Times New Roman"/>
          <w:kern w:val="0"/>
          <w:lang w:val="es-CO" w:eastAsia="es-MX"/>
          <w14:ligatures w14:val="none"/>
        </w:rPr>
      </w:pPr>
    </w:p>
    <w:p w14:paraId="7B7B1C4B" w14:textId="77777777" w:rsidR="00D670AE" w:rsidRPr="00D670AE" w:rsidRDefault="00D670AE" w:rsidP="00D670AE">
      <w:pPr>
        <w:ind w:left="567"/>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27. Por ende, puede darse el caso en que, sobre un mismo periodo mensual se deba presentar y pagar la declaración correspondiente al impuesto causado por el valor total de los pagos que se vayan a efectuar en vigencia del contrato, si este es de cuantía determinada, o que, por el contrario, si su cuantía es indeterminada, una vez el valor de los pagos o abonos en cuenta efectuados hayan superado el umbral de seis mil (6.000) UVT, se declare el impuesto causado en dicho periodo mensual, y que el impuesto causado por los pagos o abonos posteriores hagan parte de las respectivas declaraciones de los periodos mensuales en que se lleven a cabo.”</w:t>
      </w:r>
    </w:p>
    <w:p w14:paraId="3CF95DAF" w14:textId="77777777" w:rsidR="00D670AE" w:rsidRPr="00D670AE" w:rsidRDefault="00D670AE" w:rsidP="00D670AE">
      <w:pPr>
        <w:rPr>
          <w:rFonts w:ascii="Times New Roman" w:eastAsia="Times New Roman" w:hAnsi="Times New Roman" w:cs="Times New Roman"/>
          <w:kern w:val="0"/>
          <w:lang w:val="es-CO" w:eastAsia="es-MX"/>
          <w14:ligatures w14:val="none"/>
        </w:rPr>
      </w:pPr>
      <w:r w:rsidRPr="00D670AE">
        <w:rPr>
          <w:rFonts w:ascii="Times New Roman" w:eastAsia="Times New Roman" w:hAnsi="Times New Roman" w:cs="Times New Roman"/>
          <w:kern w:val="0"/>
          <w:lang w:val="es-CO" w:eastAsia="es-MX"/>
          <w14:ligatures w14:val="none"/>
        </w:rPr>
        <w:br/>
      </w:r>
    </w:p>
    <w:p w14:paraId="458BE6C1" w14:textId="77777777" w:rsidR="00D670AE" w:rsidRPr="00D670AE" w:rsidRDefault="00D670AE" w:rsidP="00D670AE">
      <w:pPr>
        <w:numPr>
          <w:ilvl w:val="0"/>
          <w:numId w:val="8"/>
        </w:numPr>
        <w:jc w:val="both"/>
        <w:textAlignment w:val="baseline"/>
        <w:rPr>
          <w:rFonts w:ascii="Verdana" w:eastAsia="Times New Roman" w:hAnsi="Verdana" w:cs="Times New Roman"/>
          <w:color w:val="000000"/>
          <w:kern w:val="0"/>
          <w:lang w:val="es-CO" w:eastAsia="es-MX"/>
          <w14:ligatures w14:val="none"/>
        </w:rPr>
      </w:pPr>
      <w:r w:rsidRPr="00D670AE">
        <w:rPr>
          <w:rFonts w:ascii="Verdana" w:eastAsia="Times New Roman" w:hAnsi="Verdana" w:cs="Times New Roman"/>
          <w:color w:val="000000"/>
          <w:kern w:val="0"/>
          <w:lang w:val="es-CO" w:eastAsia="es-MX"/>
          <w14:ligatures w14:val="none"/>
        </w:rPr>
        <w:t xml:space="preserve">En relación con la posibilidad de que uno de los intervinientes del documento acredite haber pagado el impuesto de timbre que fue retenido, declarado y pagado por otro de los intervinientes del documento en su calidad de agente de retención, es oportuno citar el Concepto 003418 </w:t>
      </w:r>
      <w:proofErr w:type="spellStart"/>
      <w:r w:rsidRPr="00D670AE">
        <w:rPr>
          <w:rFonts w:ascii="Verdana" w:eastAsia="Times New Roman" w:hAnsi="Verdana" w:cs="Times New Roman"/>
          <w:color w:val="000000"/>
          <w:kern w:val="0"/>
          <w:lang w:val="es-CO" w:eastAsia="es-MX"/>
          <w14:ligatures w14:val="none"/>
        </w:rPr>
        <w:t>int</w:t>
      </w:r>
      <w:proofErr w:type="spellEnd"/>
      <w:r w:rsidRPr="00D670AE">
        <w:rPr>
          <w:rFonts w:ascii="Verdana" w:eastAsia="Times New Roman" w:hAnsi="Verdana" w:cs="Times New Roman"/>
          <w:color w:val="000000"/>
          <w:kern w:val="0"/>
          <w:lang w:val="es-CO" w:eastAsia="es-MX"/>
          <w14:ligatures w14:val="none"/>
        </w:rPr>
        <w:t>. 265 del 25 de febrero de 2025, en el cual se precisó la distinción entre los sujetos pasivos económicos del impuesto de timbre y quienes ostentan el deber de retención, para señalar que la carga económica del tributo no coincide necesariamente con el deber de actuar como retenedor del mismo, y por ende no es dicho criterio el relevante para establecer si se puede acreditar el impuesto pagado por el sujeto pasivo económico, pues las obligaciones en cada caso son distintas, como se expone:</w:t>
      </w:r>
    </w:p>
    <w:p w14:paraId="23204E56" w14:textId="77777777" w:rsidR="00D670AE" w:rsidRPr="00D670AE" w:rsidRDefault="00D670AE" w:rsidP="00D670AE">
      <w:pPr>
        <w:rPr>
          <w:rFonts w:ascii="Times New Roman" w:eastAsia="Times New Roman" w:hAnsi="Times New Roman" w:cs="Times New Roman"/>
          <w:kern w:val="0"/>
          <w:lang w:val="es-CO" w:eastAsia="es-MX"/>
          <w14:ligatures w14:val="none"/>
        </w:rPr>
      </w:pPr>
    </w:p>
    <w:p w14:paraId="2969F303" w14:textId="77777777" w:rsidR="00D670AE" w:rsidRPr="00D670AE" w:rsidRDefault="00D670AE" w:rsidP="00D670AE">
      <w:pPr>
        <w:ind w:left="567"/>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“4. Son sujetos pasivos económicos del impuesto de timbre las personas naturales o jurídicas, sus asimiladas o entidades que se enumeran a continuación que acepten o suscriban una actuación gravada:</w:t>
      </w:r>
    </w:p>
    <w:p w14:paraId="609C95A7" w14:textId="77777777" w:rsidR="00D670AE" w:rsidRPr="00D670AE" w:rsidRDefault="00D670AE" w:rsidP="00D670AE">
      <w:pPr>
        <w:rPr>
          <w:rFonts w:ascii="Times New Roman" w:eastAsia="Times New Roman" w:hAnsi="Times New Roman" w:cs="Times New Roman"/>
          <w:kern w:val="0"/>
          <w:lang w:val="es-CO" w:eastAsia="es-MX"/>
          <w14:ligatures w14:val="none"/>
        </w:rPr>
      </w:pPr>
      <w:r w:rsidRPr="00D670AE">
        <w:rPr>
          <w:rFonts w:ascii="Times New Roman" w:eastAsia="Times New Roman" w:hAnsi="Times New Roman" w:cs="Times New Roman"/>
          <w:kern w:val="0"/>
          <w:lang w:val="es-CO" w:eastAsia="es-MX"/>
          <w14:ligatures w14:val="none"/>
        </w:rPr>
        <w:br/>
      </w:r>
    </w:p>
    <w:p w14:paraId="72260028" w14:textId="77777777" w:rsidR="00D670AE" w:rsidRPr="00D670AE" w:rsidRDefault="00D670AE" w:rsidP="00D670AE">
      <w:pPr>
        <w:numPr>
          <w:ilvl w:val="0"/>
          <w:numId w:val="9"/>
        </w:numPr>
        <w:jc w:val="both"/>
        <w:textAlignment w:val="baseline"/>
        <w:rPr>
          <w:rFonts w:ascii="Verdana" w:eastAsia="Times New Roman" w:hAnsi="Verdana" w:cs="Times New Roman"/>
          <w:color w:val="000000"/>
          <w:kern w:val="0"/>
          <w:lang w:val="es-CO" w:eastAsia="es-MX"/>
          <w14:ligatures w14:val="none"/>
        </w:rPr>
      </w:pPr>
      <w:r w:rsidRPr="00D670AE">
        <w:rPr>
          <w:rFonts w:ascii="Verdana" w:eastAsia="Times New Roman" w:hAnsi="Verdana" w:cs="Times New Roman"/>
          <w:color w:val="000000"/>
          <w:kern w:val="0"/>
          <w:lang w:val="es-CO" w:eastAsia="es-MX"/>
          <w14:ligatures w14:val="none"/>
        </w:rPr>
        <w:t>Las personas naturales y sus asimiladas.</w:t>
      </w:r>
    </w:p>
    <w:p w14:paraId="36E0EC3A" w14:textId="77777777" w:rsidR="00D670AE" w:rsidRPr="00D670AE" w:rsidRDefault="00D670AE" w:rsidP="00D670AE">
      <w:pPr>
        <w:numPr>
          <w:ilvl w:val="0"/>
          <w:numId w:val="10"/>
        </w:numPr>
        <w:jc w:val="both"/>
        <w:textAlignment w:val="baseline"/>
        <w:rPr>
          <w:rFonts w:ascii="Verdana" w:eastAsia="Times New Roman" w:hAnsi="Verdana" w:cs="Times New Roman"/>
          <w:color w:val="000000"/>
          <w:kern w:val="0"/>
          <w:lang w:val="es-CO" w:eastAsia="es-MX"/>
          <w14:ligatures w14:val="none"/>
        </w:rPr>
      </w:pPr>
      <w:r w:rsidRPr="00D670AE">
        <w:rPr>
          <w:rFonts w:ascii="Verdana" w:eastAsia="Times New Roman" w:hAnsi="Verdana" w:cs="Times New Roman"/>
          <w:color w:val="000000"/>
          <w:kern w:val="0"/>
          <w:lang w:val="es-CO" w:eastAsia="es-MX"/>
          <w14:ligatures w14:val="none"/>
        </w:rPr>
        <w:t>Las personas jurídicas y sus asimiladas.</w:t>
      </w:r>
    </w:p>
    <w:p w14:paraId="6DD343E9" w14:textId="77777777" w:rsidR="00D670AE" w:rsidRPr="00D670AE" w:rsidRDefault="00D670AE" w:rsidP="00D670AE">
      <w:pPr>
        <w:numPr>
          <w:ilvl w:val="0"/>
          <w:numId w:val="11"/>
        </w:numPr>
        <w:jc w:val="both"/>
        <w:textAlignment w:val="baseline"/>
        <w:rPr>
          <w:rFonts w:ascii="Verdana" w:eastAsia="Times New Roman" w:hAnsi="Verdana" w:cs="Times New Roman"/>
          <w:color w:val="000000"/>
          <w:kern w:val="0"/>
          <w:lang w:val="es-CO" w:eastAsia="es-MX"/>
          <w14:ligatures w14:val="none"/>
        </w:rPr>
      </w:pPr>
      <w:r w:rsidRPr="00D670AE">
        <w:rPr>
          <w:rFonts w:ascii="Verdana" w:eastAsia="Times New Roman" w:hAnsi="Verdana" w:cs="Times New Roman"/>
          <w:color w:val="000000"/>
          <w:kern w:val="0"/>
          <w:lang w:val="es-CO" w:eastAsia="es-MX"/>
          <w14:ligatures w14:val="none"/>
        </w:rPr>
        <w:lastRenderedPageBreak/>
        <w:t>Las entidades públicas no exceptuadas. o</w:t>
      </w:r>
    </w:p>
    <w:p w14:paraId="5CE12F7D" w14:textId="77777777" w:rsidR="00D670AE" w:rsidRPr="00D670AE" w:rsidRDefault="00D670AE" w:rsidP="00D670AE">
      <w:pPr>
        <w:numPr>
          <w:ilvl w:val="0"/>
          <w:numId w:val="12"/>
        </w:numPr>
        <w:jc w:val="both"/>
        <w:textAlignment w:val="baseline"/>
        <w:rPr>
          <w:rFonts w:ascii="Verdana" w:eastAsia="Times New Roman" w:hAnsi="Verdana" w:cs="Times New Roman"/>
          <w:color w:val="000000"/>
          <w:kern w:val="0"/>
          <w:lang w:val="es-CO" w:eastAsia="es-MX"/>
          <w14:ligatures w14:val="none"/>
        </w:rPr>
      </w:pPr>
      <w:r w:rsidRPr="00D670AE">
        <w:rPr>
          <w:rFonts w:ascii="Verdana" w:eastAsia="Times New Roman" w:hAnsi="Verdana" w:cs="Times New Roman"/>
          <w:color w:val="000000"/>
          <w:kern w:val="0"/>
          <w:lang w:val="es-CO" w:eastAsia="es-MX"/>
          <w14:ligatures w14:val="none"/>
        </w:rPr>
        <w:t>Como regla general, cualquiera sobre aquel cuyo a favor se expida, otorgue o extienda el documento.</w:t>
      </w:r>
    </w:p>
    <w:p w14:paraId="45E7B330" w14:textId="77777777" w:rsidR="00D670AE" w:rsidRPr="00D670AE" w:rsidRDefault="00D670AE" w:rsidP="00D670AE">
      <w:pPr>
        <w:rPr>
          <w:rFonts w:ascii="Times New Roman" w:eastAsia="Times New Roman" w:hAnsi="Times New Roman" w:cs="Times New Roman"/>
          <w:kern w:val="0"/>
          <w:lang w:val="es-CO" w:eastAsia="es-MX"/>
          <w14:ligatures w14:val="none"/>
        </w:rPr>
      </w:pPr>
    </w:p>
    <w:p w14:paraId="64D21E0A" w14:textId="77777777" w:rsidR="00D670AE" w:rsidRPr="00D670AE" w:rsidRDefault="00D670AE" w:rsidP="00D670AE">
      <w:pPr>
        <w:ind w:left="567"/>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5. Estas personas o entidades asumen la carga económica del tributo, pero no necesariamente el deber de retenerlo y declararlo pues esto corresponde a los sujetos pasivos de derecho o responsables.”</w:t>
      </w:r>
    </w:p>
    <w:p w14:paraId="6BD74B29" w14:textId="77777777" w:rsidR="00D670AE" w:rsidRPr="00D670AE" w:rsidRDefault="00D670AE" w:rsidP="00D670AE">
      <w:pPr>
        <w:rPr>
          <w:rFonts w:ascii="Times New Roman" w:eastAsia="Times New Roman" w:hAnsi="Times New Roman" w:cs="Times New Roman"/>
          <w:kern w:val="0"/>
          <w:lang w:val="es-CO" w:eastAsia="es-MX"/>
          <w14:ligatures w14:val="none"/>
        </w:rPr>
      </w:pPr>
      <w:r w:rsidRPr="00D670AE">
        <w:rPr>
          <w:rFonts w:ascii="Times New Roman" w:eastAsia="Times New Roman" w:hAnsi="Times New Roman" w:cs="Times New Roman"/>
          <w:kern w:val="0"/>
          <w:lang w:val="es-CO" w:eastAsia="es-MX"/>
          <w14:ligatures w14:val="none"/>
        </w:rPr>
        <w:br/>
      </w:r>
    </w:p>
    <w:p w14:paraId="3D6B4274" w14:textId="77777777" w:rsidR="00D670AE" w:rsidRPr="00D670AE" w:rsidRDefault="00D670AE" w:rsidP="00D670AE">
      <w:pPr>
        <w:numPr>
          <w:ilvl w:val="0"/>
          <w:numId w:val="13"/>
        </w:numPr>
        <w:jc w:val="both"/>
        <w:textAlignment w:val="baseline"/>
        <w:rPr>
          <w:rFonts w:ascii="Verdana" w:eastAsia="Times New Roman" w:hAnsi="Verdana" w:cs="Times New Roman"/>
          <w:color w:val="000000"/>
          <w:kern w:val="0"/>
          <w:lang w:val="es-CO" w:eastAsia="es-MX"/>
          <w14:ligatures w14:val="none"/>
        </w:rPr>
      </w:pPr>
      <w:r w:rsidRPr="00D670AE">
        <w:rPr>
          <w:rFonts w:ascii="Verdana" w:eastAsia="Times New Roman" w:hAnsi="Verdana" w:cs="Times New Roman"/>
          <w:color w:val="000000"/>
          <w:kern w:val="0"/>
          <w:lang w:val="es-CO" w:eastAsia="es-MX"/>
          <w14:ligatures w14:val="none"/>
        </w:rPr>
        <w:t>Finalmente se observa que en algunos de los interrogantes planteados, el consultante solicita que se le indique si las actividades que detalla en su petición se consideran ejecutadas en Colombia o en el extranjero, por lo cual se procede a reiterar que la competencia de este despacho no se encamina a resolver consultas sobre casos específicos o particulares, sino a la interpretación general y abstracta de la normatividad expuesta, por lo que deberá ser el interesado el que verifique en cada caso la aplicación a su situación concreta.</w:t>
      </w:r>
    </w:p>
    <w:p w14:paraId="56E13ED2" w14:textId="77777777" w:rsidR="00D670AE" w:rsidRPr="00D670AE" w:rsidRDefault="00D670AE" w:rsidP="00D670AE">
      <w:pPr>
        <w:rPr>
          <w:rFonts w:ascii="Times New Roman" w:eastAsia="Times New Roman" w:hAnsi="Times New Roman" w:cs="Times New Roman"/>
          <w:kern w:val="0"/>
          <w:lang w:val="es-CO" w:eastAsia="es-MX"/>
          <w14:ligatures w14:val="none"/>
        </w:rPr>
      </w:pPr>
      <w:r w:rsidRPr="00D670AE">
        <w:rPr>
          <w:rFonts w:ascii="Times New Roman" w:eastAsia="Times New Roman" w:hAnsi="Times New Roman" w:cs="Times New Roman"/>
          <w:kern w:val="0"/>
          <w:lang w:val="es-CO" w:eastAsia="es-MX"/>
          <w14:ligatures w14:val="none"/>
        </w:rPr>
        <w:br/>
      </w:r>
    </w:p>
    <w:p w14:paraId="1A33E099" w14:textId="77777777" w:rsidR="00D670AE" w:rsidRPr="00D670AE" w:rsidRDefault="00D670AE" w:rsidP="00D670AE">
      <w:pPr>
        <w:numPr>
          <w:ilvl w:val="0"/>
          <w:numId w:val="14"/>
        </w:numPr>
        <w:jc w:val="both"/>
        <w:textAlignment w:val="baseline"/>
        <w:rPr>
          <w:rFonts w:ascii="Verdana" w:eastAsia="Times New Roman" w:hAnsi="Verdana" w:cs="Times New Roman"/>
          <w:color w:val="000000"/>
          <w:kern w:val="0"/>
          <w:lang w:val="es-CO" w:eastAsia="es-MX"/>
          <w14:ligatures w14:val="none"/>
        </w:rPr>
      </w:pPr>
      <w:r w:rsidRPr="00D670AE">
        <w:rPr>
          <w:rFonts w:ascii="Verdana" w:eastAsia="Times New Roman" w:hAnsi="Verdana" w:cs="Times New Roman"/>
          <w:color w:val="000000"/>
          <w:kern w:val="0"/>
          <w:lang w:val="es-CO" w:eastAsia="es-MX"/>
          <w14:ligatures w14:val="none"/>
        </w:rPr>
        <w:t xml:space="preserve">En los anteriores términos se resuelve su petición y se recuerda que la normativa, jurisprudencia y doctrina en materia tributaria, aduanera y de fiscalización cambiaria, en lo de competencia de esta Entidad, puede consultarse en el normograma DIAN: </w:t>
      </w:r>
      <w:hyperlink r:id="rId5" w:history="1">
        <w:r w:rsidRPr="00D670AE">
          <w:rPr>
            <w:rFonts w:ascii="Verdana" w:eastAsia="Times New Roman" w:hAnsi="Verdana" w:cs="Times New Roman"/>
            <w:color w:val="000000"/>
            <w:kern w:val="0"/>
            <w:u w:val="single"/>
            <w:lang w:val="es-CO" w:eastAsia="es-MX"/>
            <w14:ligatures w14:val="none"/>
          </w:rPr>
          <w:t>https://normograma.dian.gov.co/dian/</w:t>
        </w:r>
      </w:hyperlink>
      <w:r w:rsidRPr="00D670AE">
        <w:rPr>
          <w:rFonts w:ascii="Verdana" w:eastAsia="Times New Roman" w:hAnsi="Verdana" w:cs="Times New Roman"/>
          <w:color w:val="000000"/>
          <w:kern w:val="0"/>
          <w:lang w:val="es-CO" w:eastAsia="es-MX"/>
          <w14:ligatures w14:val="none"/>
        </w:rPr>
        <w:t>.</w:t>
      </w:r>
    </w:p>
    <w:p w14:paraId="533C0D0C" w14:textId="77777777" w:rsidR="00D670AE" w:rsidRPr="00D670AE" w:rsidRDefault="00D670AE" w:rsidP="00D670AE">
      <w:pPr>
        <w:rPr>
          <w:rFonts w:ascii="Times New Roman" w:eastAsia="Times New Roman" w:hAnsi="Times New Roman" w:cs="Times New Roman"/>
          <w:kern w:val="0"/>
          <w:lang w:val="es-CO" w:eastAsia="es-MX"/>
          <w14:ligatures w14:val="none"/>
        </w:rPr>
      </w:pPr>
    </w:p>
    <w:p w14:paraId="41CD596E" w14:textId="77777777" w:rsidR="00D670AE" w:rsidRPr="00D670AE" w:rsidRDefault="00D670AE" w:rsidP="00D670AE">
      <w:pPr>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Atentamente,</w:t>
      </w:r>
    </w:p>
    <w:p w14:paraId="7DECA327" w14:textId="77777777" w:rsidR="00D670AE" w:rsidRPr="00D670AE" w:rsidRDefault="00D670AE" w:rsidP="00D670AE">
      <w:pPr>
        <w:rPr>
          <w:rFonts w:ascii="Times New Roman" w:eastAsia="Times New Roman" w:hAnsi="Times New Roman" w:cs="Times New Roman"/>
          <w:kern w:val="0"/>
          <w:lang w:val="es-CO" w:eastAsia="es-MX"/>
          <w14:ligatures w14:val="none"/>
        </w:rPr>
      </w:pPr>
    </w:p>
    <w:p w14:paraId="7A3C1955" w14:textId="77777777" w:rsidR="00D670AE" w:rsidRPr="00D670AE" w:rsidRDefault="00D670AE" w:rsidP="00D670AE">
      <w:pPr>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(Fdo.) INGRID CASTAÑEDA CEPEDA, </w:t>
      </w:r>
    </w:p>
    <w:p w14:paraId="6EA4CFFB" w14:textId="77777777" w:rsidR="00D670AE" w:rsidRPr="00D670AE" w:rsidRDefault="00D670AE" w:rsidP="00D670AE">
      <w:pPr>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Subdirectora de Normativa y Doctrina (A) </w:t>
      </w:r>
    </w:p>
    <w:p w14:paraId="43CBC4FF" w14:textId="77777777" w:rsidR="00D670AE" w:rsidRPr="00D670AE" w:rsidRDefault="00D670AE" w:rsidP="00D670AE">
      <w:pPr>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Dirección de Gestión Jurídica</w:t>
      </w:r>
    </w:p>
    <w:p w14:paraId="7B514B5E" w14:textId="77777777" w:rsidR="00D670AE" w:rsidRPr="00D670AE" w:rsidRDefault="00D670AE" w:rsidP="00D670AE">
      <w:pPr>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U.A.E. Dirección de Impuestos y Aduanas Nacionales – DIAN </w:t>
      </w:r>
    </w:p>
    <w:p w14:paraId="78C54217" w14:textId="77777777" w:rsidR="00D670AE" w:rsidRPr="00D670AE" w:rsidRDefault="00D670AE" w:rsidP="00D670AE">
      <w:pPr>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 xml:space="preserve">Dirección: </w:t>
      </w:r>
      <w:proofErr w:type="spellStart"/>
      <w:r w:rsidRPr="00D670AE">
        <w:rPr>
          <w:rFonts w:ascii="Verdana" w:eastAsia="Times New Roman" w:hAnsi="Verdana" w:cs="Times New Roman"/>
          <w:color w:val="000000"/>
          <w:kern w:val="0"/>
          <w:lang w:val="es-CO" w:eastAsia="es-MX"/>
          <w14:ligatures w14:val="none"/>
        </w:rPr>
        <w:t>Cra</w:t>
      </w:r>
      <w:proofErr w:type="spellEnd"/>
      <w:r w:rsidRPr="00D670AE">
        <w:rPr>
          <w:rFonts w:ascii="Verdana" w:eastAsia="Times New Roman" w:hAnsi="Verdana" w:cs="Times New Roman"/>
          <w:color w:val="000000"/>
          <w:kern w:val="0"/>
          <w:lang w:val="es-CO" w:eastAsia="es-MX"/>
          <w14:ligatures w14:val="none"/>
        </w:rPr>
        <w:t>. 8 # 6C-38 Edificio San Agustín - Piso 4 </w:t>
      </w:r>
    </w:p>
    <w:p w14:paraId="4285709B" w14:textId="77777777" w:rsidR="00D670AE" w:rsidRPr="00D670AE" w:rsidRDefault="00D670AE" w:rsidP="00D670AE">
      <w:pPr>
        <w:jc w:val="both"/>
        <w:rPr>
          <w:rFonts w:ascii="Times New Roman" w:eastAsia="Times New Roman" w:hAnsi="Times New Roman" w:cs="Times New Roman"/>
          <w:kern w:val="0"/>
          <w:lang w:val="es-CO" w:eastAsia="es-MX"/>
          <w14:ligatures w14:val="none"/>
        </w:rPr>
      </w:pPr>
      <w:r w:rsidRPr="00D670AE">
        <w:rPr>
          <w:rFonts w:ascii="Verdana" w:eastAsia="Times New Roman" w:hAnsi="Verdana" w:cs="Times New Roman"/>
          <w:color w:val="000000"/>
          <w:kern w:val="0"/>
          <w:lang w:val="es-CO" w:eastAsia="es-MX"/>
          <w14:ligatures w14:val="none"/>
        </w:rPr>
        <w:t>Bogotá, D.C.</w:t>
      </w:r>
    </w:p>
    <w:p w14:paraId="143DB4B7" w14:textId="77777777" w:rsidR="00D670AE" w:rsidRPr="00D670AE" w:rsidRDefault="00D670AE" w:rsidP="00D670AE">
      <w:pPr>
        <w:jc w:val="both"/>
        <w:rPr>
          <w:rFonts w:ascii="Times New Roman" w:eastAsia="Times New Roman" w:hAnsi="Times New Roman" w:cs="Times New Roman"/>
          <w:kern w:val="0"/>
          <w:lang w:val="es-CO" w:eastAsia="es-MX"/>
          <w14:ligatures w14:val="none"/>
        </w:rPr>
      </w:pPr>
      <w:hyperlink r:id="rId6" w:history="1">
        <w:r w:rsidRPr="00D670AE">
          <w:rPr>
            <w:rFonts w:ascii="Verdana" w:eastAsia="Times New Roman" w:hAnsi="Verdana" w:cs="Times New Roman"/>
            <w:color w:val="000000"/>
            <w:kern w:val="0"/>
            <w:u w:val="single"/>
            <w:lang w:val="es-CO" w:eastAsia="es-MX"/>
            <w14:ligatures w14:val="none"/>
          </w:rPr>
          <w:t>www.dian.gov.co</w:t>
        </w:r>
      </w:hyperlink>
    </w:p>
    <w:p w14:paraId="1E4A921F" w14:textId="77777777" w:rsidR="00D670AE" w:rsidRPr="00D670AE" w:rsidRDefault="00D670AE" w:rsidP="00D670AE">
      <w:pPr>
        <w:rPr>
          <w:rFonts w:ascii="Times New Roman" w:eastAsia="Times New Roman" w:hAnsi="Times New Roman" w:cs="Times New Roman"/>
          <w:kern w:val="0"/>
          <w:lang w:val="es-CO" w:eastAsia="es-MX"/>
          <w14:ligatures w14:val="none"/>
        </w:rPr>
      </w:pPr>
    </w:p>
    <w:p w14:paraId="5164C094"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D277C"/>
    <w:multiLevelType w:val="multilevel"/>
    <w:tmpl w:val="FD9E2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081381"/>
    <w:multiLevelType w:val="multilevel"/>
    <w:tmpl w:val="C900B37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32204B"/>
    <w:multiLevelType w:val="multilevel"/>
    <w:tmpl w:val="14D0B3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D7293D"/>
    <w:multiLevelType w:val="multilevel"/>
    <w:tmpl w:val="63006E1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E80005"/>
    <w:multiLevelType w:val="multilevel"/>
    <w:tmpl w:val="C532A1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B6B7041"/>
    <w:multiLevelType w:val="multilevel"/>
    <w:tmpl w:val="6B1EE3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9D82409"/>
    <w:multiLevelType w:val="multilevel"/>
    <w:tmpl w:val="6B96B4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3FF439F"/>
    <w:multiLevelType w:val="multilevel"/>
    <w:tmpl w:val="FB0CC67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8FD5BF8"/>
    <w:multiLevelType w:val="multilevel"/>
    <w:tmpl w:val="030ACE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06060389">
    <w:abstractNumId w:val="6"/>
  </w:num>
  <w:num w:numId="2" w16cid:durableId="1348749499">
    <w:abstractNumId w:val="5"/>
    <w:lvlOverride w:ilvl="0">
      <w:lvl w:ilvl="0">
        <w:numFmt w:val="decimal"/>
        <w:lvlText w:val="%1."/>
        <w:lvlJc w:val="left"/>
      </w:lvl>
    </w:lvlOverride>
  </w:num>
  <w:num w:numId="3" w16cid:durableId="773794403">
    <w:abstractNumId w:val="0"/>
    <w:lvlOverride w:ilvl="0">
      <w:lvl w:ilvl="0">
        <w:numFmt w:val="lowerRoman"/>
        <w:lvlText w:val="%1."/>
        <w:lvlJc w:val="right"/>
      </w:lvl>
    </w:lvlOverride>
  </w:num>
  <w:num w:numId="4" w16cid:durableId="14119654">
    <w:abstractNumId w:val="0"/>
    <w:lvlOverride w:ilvl="0">
      <w:lvl w:ilvl="0">
        <w:numFmt w:val="lowerRoman"/>
        <w:lvlText w:val="%1."/>
        <w:lvlJc w:val="right"/>
      </w:lvl>
    </w:lvlOverride>
  </w:num>
  <w:num w:numId="5" w16cid:durableId="523177981">
    <w:abstractNumId w:val="0"/>
    <w:lvlOverride w:ilvl="0">
      <w:lvl w:ilvl="0">
        <w:numFmt w:val="lowerRoman"/>
        <w:lvlText w:val="%1."/>
        <w:lvlJc w:val="right"/>
      </w:lvl>
    </w:lvlOverride>
  </w:num>
  <w:num w:numId="6" w16cid:durableId="526867182">
    <w:abstractNumId w:val="7"/>
    <w:lvlOverride w:ilvl="0">
      <w:lvl w:ilvl="0">
        <w:numFmt w:val="decimal"/>
        <w:lvlText w:val="%1."/>
        <w:lvlJc w:val="left"/>
      </w:lvl>
    </w:lvlOverride>
  </w:num>
  <w:num w:numId="7" w16cid:durableId="1939092895">
    <w:abstractNumId w:val="2"/>
    <w:lvlOverride w:ilvl="0">
      <w:lvl w:ilvl="0">
        <w:numFmt w:val="decimal"/>
        <w:lvlText w:val="%1."/>
        <w:lvlJc w:val="left"/>
      </w:lvl>
    </w:lvlOverride>
  </w:num>
  <w:num w:numId="8" w16cid:durableId="1137986902">
    <w:abstractNumId w:val="1"/>
    <w:lvlOverride w:ilvl="0">
      <w:lvl w:ilvl="0">
        <w:numFmt w:val="decimal"/>
        <w:lvlText w:val="%1."/>
        <w:lvlJc w:val="left"/>
      </w:lvl>
    </w:lvlOverride>
  </w:num>
  <w:num w:numId="9" w16cid:durableId="1330865109">
    <w:abstractNumId w:val="8"/>
    <w:lvlOverride w:ilvl="0">
      <w:lvl w:ilvl="0">
        <w:numFmt w:val="lowerLetter"/>
        <w:lvlText w:val="%1."/>
        <w:lvlJc w:val="left"/>
      </w:lvl>
    </w:lvlOverride>
  </w:num>
  <w:num w:numId="10" w16cid:durableId="713625445">
    <w:abstractNumId w:val="8"/>
    <w:lvlOverride w:ilvl="0">
      <w:lvl w:ilvl="0">
        <w:numFmt w:val="lowerLetter"/>
        <w:lvlText w:val="%1."/>
        <w:lvlJc w:val="left"/>
      </w:lvl>
    </w:lvlOverride>
  </w:num>
  <w:num w:numId="11" w16cid:durableId="1660305474">
    <w:abstractNumId w:val="8"/>
    <w:lvlOverride w:ilvl="0">
      <w:lvl w:ilvl="0">
        <w:numFmt w:val="lowerLetter"/>
        <w:lvlText w:val="%1."/>
        <w:lvlJc w:val="left"/>
      </w:lvl>
    </w:lvlOverride>
  </w:num>
  <w:num w:numId="12" w16cid:durableId="113603080">
    <w:abstractNumId w:val="8"/>
    <w:lvlOverride w:ilvl="0">
      <w:lvl w:ilvl="0">
        <w:numFmt w:val="lowerLetter"/>
        <w:lvlText w:val="%1."/>
        <w:lvlJc w:val="left"/>
      </w:lvl>
    </w:lvlOverride>
  </w:num>
  <w:num w:numId="13" w16cid:durableId="1089279452">
    <w:abstractNumId w:val="3"/>
    <w:lvlOverride w:ilvl="0">
      <w:lvl w:ilvl="0">
        <w:numFmt w:val="decimal"/>
        <w:lvlText w:val="%1."/>
        <w:lvlJc w:val="left"/>
      </w:lvl>
    </w:lvlOverride>
  </w:num>
  <w:num w:numId="14" w16cid:durableId="1874228595">
    <w:abstractNumId w:val="4"/>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0AE"/>
    <w:rsid w:val="000B2285"/>
    <w:rsid w:val="00537D8F"/>
    <w:rsid w:val="00956539"/>
    <w:rsid w:val="00B83A7B"/>
    <w:rsid w:val="00D670AE"/>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17FC015"/>
  <w14:defaultImageDpi w14:val="32767"/>
  <w15:chartTrackingRefBased/>
  <w15:docId w15:val="{AE14343B-1676-524C-9546-BE75AC690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670A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D670A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D670A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D670A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D670A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D670A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670A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670A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670A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670A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D670A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D670A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D670A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D670A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D670A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670A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670A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670AE"/>
    <w:rPr>
      <w:rFonts w:eastAsiaTheme="majorEastAsia" w:cstheme="majorBidi"/>
      <w:color w:val="272727" w:themeColor="text1" w:themeTint="D8"/>
    </w:rPr>
  </w:style>
  <w:style w:type="paragraph" w:styleId="Ttulo">
    <w:name w:val="Title"/>
    <w:basedOn w:val="Normal"/>
    <w:next w:val="Normal"/>
    <w:link w:val="TtuloCar"/>
    <w:uiPriority w:val="10"/>
    <w:qFormat/>
    <w:rsid w:val="00D670A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670A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670AE"/>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670A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670A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670AE"/>
    <w:rPr>
      <w:i/>
      <w:iCs/>
      <w:color w:val="404040" w:themeColor="text1" w:themeTint="BF"/>
    </w:rPr>
  </w:style>
  <w:style w:type="paragraph" w:styleId="Prrafodelista">
    <w:name w:val="List Paragraph"/>
    <w:basedOn w:val="Normal"/>
    <w:uiPriority w:val="34"/>
    <w:qFormat/>
    <w:rsid w:val="00D670AE"/>
    <w:pPr>
      <w:ind w:left="720"/>
      <w:contextualSpacing/>
    </w:pPr>
  </w:style>
  <w:style w:type="character" w:styleId="nfasisintenso">
    <w:name w:val="Intense Emphasis"/>
    <w:basedOn w:val="Fuentedeprrafopredeter"/>
    <w:uiPriority w:val="21"/>
    <w:qFormat/>
    <w:rsid w:val="00D670AE"/>
    <w:rPr>
      <w:i/>
      <w:iCs/>
      <w:color w:val="2F5496" w:themeColor="accent1" w:themeShade="BF"/>
    </w:rPr>
  </w:style>
  <w:style w:type="paragraph" w:styleId="Citadestacada">
    <w:name w:val="Intense Quote"/>
    <w:basedOn w:val="Normal"/>
    <w:next w:val="Normal"/>
    <w:link w:val="CitadestacadaCar"/>
    <w:uiPriority w:val="30"/>
    <w:qFormat/>
    <w:rsid w:val="00D670A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670AE"/>
    <w:rPr>
      <w:i/>
      <w:iCs/>
      <w:color w:val="2F5496" w:themeColor="accent1" w:themeShade="BF"/>
    </w:rPr>
  </w:style>
  <w:style w:type="character" w:styleId="Referenciaintensa">
    <w:name w:val="Intense Reference"/>
    <w:basedOn w:val="Fuentedeprrafopredeter"/>
    <w:uiPriority w:val="32"/>
    <w:qFormat/>
    <w:rsid w:val="00D670AE"/>
    <w:rPr>
      <w:b/>
      <w:bCs/>
      <w:smallCaps/>
      <w:color w:val="2F5496" w:themeColor="accent1" w:themeShade="BF"/>
      <w:spacing w:val="5"/>
    </w:rPr>
  </w:style>
  <w:style w:type="paragraph" w:styleId="NormalWeb">
    <w:name w:val="Normal (Web)"/>
    <w:basedOn w:val="Normal"/>
    <w:uiPriority w:val="99"/>
    <w:semiHidden/>
    <w:unhideWhenUsed/>
    <w:rsid w:val="00D670AE"/>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D670AE"/>
  </w:style>
  <w:style w:type="character" w:styleId="Hipervnculo">
    <w:name w:val="Hyperlink"/>
    <w:basedOn w:val="Fuentedeprrafopredeter"/>
    <w:uiPriority w:val="99"/>
    <w:semiHidden/>
    <w:unhideWhenUsed/>
    <w:rsid w:val="00D670A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ian.gov.co/" TargetMode="External"/><Relationship Id="rId5" Type="http://schemas.openxmlformats.org/officeDocument/2006/relationships/hyperlink" Target="https://normograma.dian.gov.co/dia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1230</Words>
  <Characters>6765</Characters>
  <Application>Microsoft Office Word</Application>
  <DocSecurity>0</DocSecurity>
  <Lines>56</Lines>
  <Paragraphs>15</Paragraphs>
  <ScaleCrop>false</ScaleCrop>
  <Company/>
  <LinksUpToDate>false</LinksUpToDate>
  <CharactersWithSpaces>7980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2025-10-23T15:58:00Z</dcterms:created>
  <dcterms:modified xsi:type="dcterms:W3CDTF">2025-10-23T15:59:00Z</dcterms:modified>
</cp:coreProperties>
</file>