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77A1F"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b/>
          <w:bCs/>
          <w:color w:val="000000"/>
          <w:kern w:val="0"/>
          <w:lang w:val="es-CO" w:eastAsia="es-MX"/>
          <w14:ligatures w14:val="none"/>
        </w:rPr>
        <w:t>CONCEPTO DIAN 1167 DEL 1 DE AGOSTO DE 2025</w:t>
      </w:r>
    </w:p>
    <w:p w14:paraId="1B14E196"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b/>
          <w:bCs/>
          <w:color w:val="000000"/>
          <w:kern w:val="0"/>
          <w:lang w:val="es-CO" w:eastAsia="es-MX"/>
          <w14:ligatures w14:val="none"/>
        </w:rPr>
        <w:t>DIRECCIÓN DE IMPUESTOS Y ADUANAS NACIONALES</w:t>
      </w:r>
    </w:p>
    <w:p w14:paraId="0B1F07BE"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4078CC1B"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Bogotá, D.C., 1º de agosto de 2025.</w:t>
      </w:r>
    </w:p>
    <w:p w14:paraId="753AF79B"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7239E04E"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Tema:</w:t>
      </w:r>
      <w:r w:rsidRPr="00512D3C">
        <w:rPr>
          <w:rFonts w:ascii="Verdana" w:eastAsia="Times New Roman" w:hAnsi="Verdana" w:cs="Times New Roman"/>
          <w:color w:val="000000"/>
          <w:kern w:val="0"/>
          <w:lang w:val="es-CO" w:eastAsia="es-MX"/>
          <w14:ligatures w14:val="none"/>
        </w:rPr>
        <w:tab/>
        <w:t>Impuesto Nacional al Carbono.</w:t>
      </w:r>
    </w:p>
    <w:p w14:paraId="315EF8DD"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Descriptores:</w:t>
      </w:r>
      <w:r w:rsidRPr="00512D3C">
        <w:rPr>
          <w:rFonts w:ascii="Verdana" w:eastAsia="Times New Roman" w:hAnsi="Verdana" w:cs="Times New Roman"/>
          <w:color w:val="000000"/>
          <w:kern w:val="0"/>
          <w:lang w:val="es-CO" w:eastAsia="es-MX"/>
          <w14:ligatures w14:val="none"/>
        </w:rPr>
        <w:tab/>
        <w:t>Tarifa del 0% para el Departamento del Amazonas.</w:t>
      </w:r>
    </w:p>
    <w:p w14:paraId="237DF8C0" w14:textId="77777777" w:rsidR="00512D3C" w:rsidRPr="00512D3C" w:rsidRDefault="00512D3C" w:rsidP="00512D3C">
      <w:pPr>
        <w:ind w:left="2832" w:hanging="2832"/>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Fuentes formales:</w:t>
      </w:r>
      <w:r w:rsidRPr="00512D3C">
        <w:rPr>
          <w:rFonts w:ascii="Verdana" w:eastAsia="Times New Roman" w:hAnsi="Verdana" w:cs="Times New Roman"/>
          <w:color w:val="000000"/>
          <w:kern w:val="0"/>
          <w:lang w:val="es-CO" w:eastAsia="es-MX"/>
          <w14:ligatures w14:val="none"/>
        </w:rPr>
        <w:tab/>
        <w:t>Artículos 221 y 222 de la Ley 1819 de 2016, modificado por el artículo 48 de la Ley 2277 de 2022.</w:t>
      </w:r>
    </w:p>
    <w:p w14:paraId="32BC95A6"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07C5C81E"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Cordial saludo,</w:t>
      </w:r>
    </w:p>
    <w:p w14:paraId="499ACCF6"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52B5DDB2" w14:textId="77777777" w:rsidR="00512D3C" w:rsidRPr="00512D3C" w:rsidRDefault="00512D3C" w:rsidP="00512D3C">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512D3C">
        <w:rPr>
          <w:rFonts w:ascii="Verdana" w:eastAsia="Times New Roman" w:hAnsi="Verdana" w:cs="Times New Roman"/>
          <w:color w:val="000000"/>
          <w:kern w:val="0"/>
          <w:sz w:val="14"/>
          <w:szCs w:val="14"/>
          <w:vertAlign w:val="superscript"/>
          <w:lang w:val="es-CO" w:eastAsia="es-MX"/>
          <w14:ligatures w14:val="none"/>
        </w:rPr>
        <w:t>1</w:t>
      </w:r>
      <w:r w:rsidRPr="00512D3C">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512D3C">
        <w:rPr>
          <w:rFonts w:ascii="Verdana" w:eastAsia="Times New Roman" w:hAnsi="Verdana" w:cs="Times New Roman"/>
          <w:color w:val="000000"/>
          <w:kern w:val="0"/>
          <w:sz w:val="14"/>
          <w:szCs w:val="14"/>
          <w:vertAlign w:val="superscript"/>
          <w:lang w:val="es-CO" w:eastAsia="es-MX"/>
          <w14:ligatures w14:val="none"/>
        </w:rPr>
        <w:t>2</w:t>
      </w:r>
      <w:r w:rsidRPr="00512D3C">
        <w:rPr>
          <w:rFonts w:ascii="Verdana" w:eastAsia="Times New Roman" w:hAnsi="Verdana" w:cs="Times New Roman"/>
          <w:color w:val="000000"/>
          <w:kern w:val="0"/>
          <w:lang w:val="es-CO" w:eastAsia="es-MX"/>
          <w14:ligatures w14:val="none"/>
        </w:rPr>
        <w:t>.</w:t>
      </w:r>
    </w:p>
    <w:p w14:paraId="2606D7D2"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6F926B2D" w14:textId="77777777" w:rsidR="00512D3C" w:rsidRPr="00512D3C" w:rsidRDefault="00512D3C" w:rsidP="00512D3C">
      <w:pPr>
        <w:jc w:val="both"/>
        <w:outlineLvl w:val="0"/>
        <w:rPr>
          <w:rFonts w:ascii="Times New Roman" w:eastAsia="Times New Roman" w:hAnsi="Times New Roman" w:cs="Times New Roman"/>
          <w:b/>
          <w:bCs/>
          <w:kern w:val="36"/>
          <w:sz w:val="48"/>
          <w:szCs w:val="48"/>
          <w:lang w:val="es-CO" w:eastAsia="es-MX"/>
          <w14:ligatures w14:val="none"/>
        </w:rPr>
      </w:pPr>
      <w:r w:rsidRPr="00512D3C">
        <w:rPr>
          <w:rFonts w:ascii="Verdana" w:eastAsia="Times New Roman" w:hAnsi="Verdana" w:cs="Times New Roman"/>
          <w:b/>
          <w:bCs/>
          <w:color w:val="000000"/>
          <w:kern w:val="36"/>
          <w:lang w:val="es-CO" w:eastAsia="es-MX"/>
          <w14:ligatures w14:val="none"/>
        </w:rPr>
        <w:t>PROBLEMA JURÍDICO</w:t>
      </w:r>
    </w:p>
    <w:p w14:paraId="5F26A005"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67D5D7A0" w14:textId="77777777" w:rsidR="00512D3C" w:rsidRPr="00512D3C" w:rsidRDefault="00512D3C" w:rsidP="00512D3C">
      <w:pPr>
        <w:numPr>
          <w:ilvl w:val="0"/>
          <w:numId w:val="2"/>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¿La tarifa del 0% del Impuesto Nacional al Carbono, prevista en el parágrafo 7 del artículo 223 de la Ley 1819 de 2016, adicionado por el artículo 47 de la Ley 2277 de 2022, resulta aplicable a la venta, importación o retiro para consumo propio de gasolina, ACPM y Jet Fuel que se destinen al Departamento del Amazonas?</w:t>
      </w:r>
    </w:p>
    <w:p w14:paraId="11BDFFFA"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4111CE0C" w14:textId="77777777" w:rsidR="00512D3C" w:rsidRPr="00512D3C" w:rsidRDefault="00512D3C" w:rsidP="00512D3C">
      <w:pPr>
        <w:jc w:val="both"/>
        <w:outlineLvl w:val="0"/>
        <w:rPr>
          <w:rFonts w:ascii="Times New Roman" w:eastAsia="Times New Roman" w:hAnsi="Times New Roman" w:cs="Times New Roman"/>
          <w:b/>
          <w:bCs/>
          <w:kern w:val="36"/>
          <w:sz w:val="48"/>
          <w:szCs w:val="48"/>
          <w:lang w:val="es-CO" w:eastAsia="es-MX"/>
          <w14:ligatures w14:val="none"/>
        </w:rPr>
      </w:pPr>
      <w:r w:rsidRPr="00512D3C">
        <w:rPr>
          <w:rFonts w:ascii="Verdana" w:eastAsia="Times New Roman" w:hAnsi="Verdana" w:cs="Times New Roman"/>
          <w:b/>
          <w:bCs/>
          <w:color w:val="000000"/>
          <w:kern w:val="36"/>
          <w:lang w:val="es-CO" w:eastAsia="es-MX"/>
          <w14:ligatures w14:val="none"/>
        </w:rPr>
        <w:t>TESIS JURÍDICA</w:t>
      </w:r>
    </w:p>
    <w:p w14:paraId="631A6CFC"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07D3FC75" w14:textId="77777777" w:rsidR="00512D3C" w:rsidRPr="00512D3C" w:rsidRDefault="00512D3C" w:rsidP="00512D3C">
      <w:pPr>
        <w:numPr>
          <w:ilvl w:val="0"/>
          <w:numId w:val="3"/>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No. La tarifa del 0% del Impuesto Nacional al Carbono (en adelante INC), prevista en el parágrafo 7 del artículo 222 de la Ley 1819 de 2016, modificado por el artículo 48 de la Ley 2277 de 2022, únicamente resulta aplicable cuando los hechos generadores —venta, importación o retiro para consumo propio— se perfeccionan dentro de los territorios expresamente señalados por el legislador.</w:t>
      </w:r>
    </w:p>
    <w:p w14:paraId="6A88C01C"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1B3EE770" w14:textId="77777777" w:rsidR="00512D3C" w:rsidRPr="00512D3C" w:rsidRDefault="00512D3C" w:rsidP="00512D3C">
      <w:pPr>
        <w:jc w:val="both"/>
        <w:outlineLvl w:val="0"/>
        <w:rPr>
          <w:rFonts w:ascii="Times New Roman" w:eastAsia="Times New Roman" w:hAnsi="Times New Roman" w:cs="Times New Roman"/>
          <w:b/>
          <w:bCs/>
          <w:kern w:val="36"/>
          <w:sz w:val="48"/>
          <w:szCs w:val="48"/>
          <w:lang w:val="es-CO" w:eastAsia="es-MX"/>
          <w14:ligatures w14:val="none"/>
        </w:rPr>
      </w:pPr>
      <w:r w:rsidRPr="00512D3C">
        <w:rPr>
          <w:rFonts w:ascii="Verdana" w:eastAsia="Times New Roman" w:hAnsi="Verdana" w:cs="Times New Roman"/>
          <w:b/>
          <w:bCs/>
          <w:color w:val="000000"/>
          <w:kern w:val="36"/>
          <w:lang w:val="es-CO" w:eastAsia="es-MX"/>
          <w14:ligatures w14:val="none"/>
        </w:rPr>
        <w:t>FUNDAMENTACIÓN</w:t>
      </w:r>
    </w:p>
    <w:p w14:paraId="5741716D"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04A95637" w14:textId="77777777" w:rsidR="00512D3C" w:rsidRPr="00512D3C" w:rsidRDefault="00512D3C" w:rsidP="00512D3C">
      <w:pPr>
        <w:numPr>
          <w:ilvl w:val="0"/>
          <w:numId w:val="4"/>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El artículo 221 de la Ley 1819 de 2016</w:t>
      </w:r>
      <w:r w:rsidRPr="00512D3C">
        <w:rPr>
          <w:rFonts w:ascii="Verdana" w:eastAsia="Times New Roman" w:hAnsi="Verdana" w:cs="Times New Roman"/>
          <w:color w:val="000000"/>
          <w:kern w:val="0"/>
          <w:sz w:val="14"/>
          <w:szCs w:val="14"/>
          <w:vertAlign w:val="superscript"/>
          <w:lang w:val="es-CO" w:eastAsia="es-MX"/>
          <w14:ligatures w14:val="none"/>
        </w:rPr>
        <w:t>3</w:t>
      </w:r>
      <w:r w:rsidRPr="00512D3C">
        <w:rPr>
          <w:rFonts w:ascii="Verdana" w:eastAsia="Times New Roman" w:hAnsi="Verdana" w:cs="Times New Roman"/>
          <w:color w:val="000000"/>
          <w:kern w:val="0"/>
          <w:lang w:val="es-CO" w:eastAsia="es-MX"/>
          <w14:ligatures w14:val="none"/>
        </w:rPr>
        <w:t xml:space="preserve">, señala que el INC es un gravamen que recae sobre el contenido de carbono equivalente (CO2eq) </w:t>
      </w:r>
      <w:r w:rsidRPr="00512D3C">
        <w:rPr>
          <w:rFonts w:ascii="Verdana" w:eastAsia="Times New Roman" w:hAnsi="Verdana" w:cs="Times New Roman"/>
          <w:color w:val="000000"/>
          <w:kern w:val="0"/>
          <w:lang w:val="es-CO" w:eastAsia="es-MX"/>
          <w14:ligatures w14:val="none"/>
        </w:rPr>
        <w:lastRenderedPageBreak/>
        <w:t>de todos los combustibles fósiles, incluyendo todos los derivados del petróleo, gas fósil y sólidos que sean usados para combustión. Este tributo, de naturaleza pigouviana</w:t>
      </w:r>
      <w:r w:rsidRPr="00512D3C">
        <w:rPr>
          <w:rFonts w:ascii="Verdana" w:eastAsia="Times New Roman" w:hAnsi="Verdana" w:cs="Times New Roman"/>
          <w:color w:val="000000"/>
          <w:kern w:val="0"/>
          <w:sz w:val="14"/>
          <w:szCs w:val="14"/>
          <w:vertAlign w:val="superscript"/>
          <w:lang w:val="es-CO" w:eastAsia="es-MX"/>
          <w14:ligatures w14:val="none"/>
        </w:rPr>
        <w:t>4</w:t>
      </w:r>
      <w:r w:rsidRPr="00512D3C">
        <w:rPr>
          <w:rFonts w:ascii="Verdana" w:eastAsia="Times New Roman" w:hAnsi="Verdana" w:cs="Times New Roman"/>
          <w:color w:val="000000"/>
          <w:kern w:val="0"/>
          <w:lang w:val="es-CO" w:eastAsia="es-MX"/>
          <w14:ligatures w14:val="none"/>
        </w:rPr>
        <w:t>, busca corregir las externalidades negativas asociadas a las emisiones de gases de efecto invernadero, mediante un impuesto de causación inmediata</w:t>
      </w:r>
      <w:r w:rsidRPr="00512D3C">
        <w:rPr>
          <w:rFonts w:ascii="Verdana" w:eastAsia="Times New Roman" w:hAnsi="Verdana" w:cs="Times New Roman"/>
          <w:color w:val="000000"/>
          <w:kern w:val="0"/>
          <w:sz w:val="14"/>
          <w:szCs w:val="14"/>
          <w:vertAlign w:val="superscript"/>
          <w:lang w:val="es-CO" w:eastAsia="es-MX"/>
          <w14:ligatures w14:val="none"/>
        </w:rPr>
        <w:t>5y6</w:t>
      </w:r>
      <w:r w:rsidRPr="00512D3C">
        <w:rPr>
          <w:rFonts w:ascii="Verdana" w:eastAsia="Times New Roman" w:hAnsi="Verdana" w:cs="Times New Roman"/>
          <w:color w:val="000000"/>
          <w:kern w:val="0"/>
          <w:lang w:val="es-CO" w:eastAsia="es-MX"/>
          <w14:ligatures w14:val="none"/>
        </w:rPr>
        <w:t xml:space="preserve"> y monofásico</w:t>
      </w:r>
      <w:r w:rsidRPr="00512D3C">
        <w:rPr>
          <w:rFonts w:ascii="Verdana" w:eastAsia="Times New Roman" w:hAnsi="Verdana" w:cs="Times New Roman"/>
          <w:color w:val="000000"/>
          <w:kern w:val="0"/>
          <w:sz w:val="14"/>
          <w:szCs w:val="14"/>
          <w:vertAlign w:val="superscript"/>
          <w:lang w:val="es-CO" w:eastAsia="es-MX"/>
          <w14:ligatures w14:val="none"/>
        </w:rPr>
        <w:t>7</w:t>
      </w:r>
      <w:r w:rsidRPr="00512D3C">
        <w:rPr>
          <w:rFonts w:ascii="Verdana" w:eastAsia="Times New Roman" w:hAnsi="Verdana" w:cs="Times New Roman"/>
          <w:color w:val="000000"/>
          <w:kern w:val="0"/>
          <w:lang w:val="es-CO" w:eastAsia="es-MX"/>
          <w14:ligatures w14:val="none"/>
        </w:rPr>
        <w:t>, cuyo hecho generador se configura al verificarse cualquiera de los siguientes supuestos: (i) la venta dentro del territorio nacional; (</w:t>
      </w:r>
      <w:proofErr w:type="spellStart"/>
      <w:r w:rsidRPr="00512D3C">
        <w:rPr>
          <w:rFonts w:ascii="Verdana" w:eastAsia="Times New Roman" w:hAnsi="Verdana" w:cs="Times New Roman"/>
          <w:color w:val="000000"/>
          <w:kern w:val="0"/>
          <w:lang w:val="es-CO" w:eastAsia="es-MX"/>
          <w14:ligatures w14:val="none"/>
        </w:rPr>
        <w:t>ii</w:t>
      </w:r>
      <w:proofErr w:type="spellEnd"/>
      <w:r w:rsidRPr="00512D3C">
        <w:rPr>
          <w:rFonts w:ascii="Verdana" w:eastAsia="Times New Roman" w:hAnsi="Verdana" w:cs="Times New Roman"/>
          <w:color w:val="000000"/>
          <w:kern w:val="0"/>
          <w:lang w:val="es-CO" w:eastAsia="es-MX"/>
          <w14:ligatures w14:val="none"/>
        </w:rPr>
        <w:t>) el retiro para consumo propio; (</w:t>
      </w:r>
      <w:proofErr w:type="spellStart"/>
      <w:r w:rsidRPr="00512D3C">
        <w:rPr>
          <w:rFonts w:ascii="Verdana" w:eastAsia="Times New Roman" w:hAnsi="Verdana" w:cs="Times New Roman"/>
          <w:color w:val="000000"/>
          <w:kern w:val="0"/>
          <w:lang w:val="es-CO" w:eastAsia="es-MX"/>
          <w14:ligatures w14:val="none"/>
        </w:rPr>
        <w:t>iii</w:t>
      </w:r>
      <w:proofErr w:type="spellEnd"/>
      <w:r w:rsidRPr="00512D3C">
        <w:rPr>
          <w:rFonts w:ascii="Verdana" w:eastAsia="Times New Roman" w:hAnsi="Verdana" w:cs="Times New Roman"/>
          <w:color w:val="000000"/>
          <w:kern w:val="0"/>
          <w:lang w:val="es-CO" w:eastAsia="es-MX"/>
          <w14:ligatures w14:val="none"/>
        </w:rPr>
        <w:t>) la importación para el consumo; y (</w:t>
      </w:r>
      <w:proofErr w:type="spellStart"/>
      <w:r w:rsidRPr="00512D3C">
        <w:rPr>
          <w:rFonts w:ascii="Verdana" w:eastAsia="Times New Roman" w:hAnsi="Verdana" w:cs="Times New Roman"/>
          <w:color w:val="000000"/>
          <w:kern w:val="0"/>
          <w:lang w:val="es-CO" w:eastAsia="es-MX"/>
          <w14:ligatures w14:val="none"/>
        </w:rPr>
        <w:t>iv</w:t>
      </w:r>
      <w:proofErr w:type="spellEnd"/>
      <w:r w:rsidRPr="00512D3C">
        <w:rPr>
          <w:rFonts w:ascii="Verdana" w:eastAsia="Times New Roman" w:hAnsi="Verdana" w:cs="Times New Roman"/>
          <w:color w:val="000000"/>
          <w:kern w:val="0"/>
          <w:lang w:val="es-CO" w:eastAsia="es-MX"/>
          <w14:ligatures w14:val="none"/>
        </w:rPr>
        <w:t>) la importación para la venta.</w:t>
      </w:r>
    </w:p>
    <w:p w14:paraId="6F5D39DE"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6681FB33" w14:textId="77777777" w:rsidR="00512D3C" w:rsidRPr="00512D3C" w:rsidRDefault="00512D3C" w:rsidP="00512D3C">
      <w:pPr>
        <w:numPr>
          <w:ilvl w:val="0"/>
          <w:numId w:val="5"/>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 xml:space="preserve">Conforme con lo previsto en el artículo 222 </w:t>
      </w:r>
      <w:r w:rsidRPr="00512D3C">
        <w:rPr>
          <w:rFonts w:ascii="Verdana" w:eastAsia="Times New Roman" w:hAnsi="Verdana" w:cs="Times New Roman"/>
          <w:i/>
          <w:iCs/>
          <w:color w:val="000000"/>
          <w:kern w:val="0"/>
          <w:lang w:val="es-CO" w:eastAsia="es-MX"/>
          <w14:ligatures w14:val="none"/>
        </w:rPr>
        <w:t>ibidem</w:t>
      </w:r>
      <w:r w:rsidRPr="00512D3C">
        <w:rPr>
          <w:rFonts w:ascii="Verdana" w:eastAsia="Times New Roman" w:hAnsi="Verdana" w:cs="Times New Roman"/>
          <w:color w:val="000000"/>
          <w:kern w:val="0"/>
          <w:lang w:val="es-CO" w:eastAsia="es-MX"/>
          <w14:ligatures w14:val="none"/>
        </w:rPr>
        <w:t>, el INC se liquida con base en una tarifa específica determinada por el factor de emisión de gases de efecto invernadero correspondiente a cada tipo de combustible, la cual se ajusta anualmente conforme a la variación del Índice de Precios al Consumidor (IPC)</w:t>
      </w:r>
      <w:r w:rsidRPr="00512D3C">
        <w:rPr>
          <w:rFonts w:ascii="Verdana" w:eastAsia="Times New Roman" w:hAnsi="Verdana" w:cs="Times New Roman"/>
          <w:color w:val="000000"/>
          <w:kern w:val="0"/>
          <w:sz w:val="14"/>
          <w:szCs w:val="14"/>
          <w:vertAlign w:val="superscript"/>
          <w:lang w:val="es-CO" w:eastAsia="es-MX"/>
          <w14:ligatures w14:val="none"/>
        </w:rPr>
        <w:t>8</w:t>
      </w:r>
      <w:r w:rsidRPr="00512D3C">
        <w:rPr>
          <w:rFonts w:ascii="Verdana" w:eastAsia="Times New Roman" w:hAnsi="Verdana" w:cs="Times New Roman"/>
          <w:color w:val="000000"/>
          <w:kern w:val="0"/>
          <w:lang w:val="es-CO" w:eastAsia="es-MX"/>
          <w14:ligatures w14:val="none"/>
        </w:rPr>
        <w:t>.</w:t>
      </w:r>
    </w:p>
    <w:p w14:paraId="238EAF9E"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33F3FCF1" w14:textId="77777777" w:rsidR="00512D3C" w:rsidRPr="00512D3C" w:rsidRDefault="00512D3C" w:rsidP="00512D3C">
      <w:pPr>
        <w:numPr>
          <w:ilvl w:val="0"/>
          <w:numId w:val="6"/>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No obstante, el parágrafo 7 del artículo 222 establece que la tarifa del INC será de cero pesos ($0) en los casos de venta, retiro o importación de gasolina, ACPM y Jet Fuel que se realicen en el Departamento del Amazonas</w:t>
      </w:r>
      <w:r w:rsidRPr="00512D3C">
        <w:rPr>
          <w:rFonts w:ascii="Verdana" w:eastAsia="Times New Roman" w:hAnsi="Verdana" w:cs="Times New Roman"/>
          <w:color w:val="000000"/>
          <w:kern w:val="0"/>
          <w:sz w:val="14"/>
          <w:szCs w:val="14"/>
          <w:vertAlign w:val="superscript"/>
          <w:lang w:val="es-CO" w:eastAsia="es-MX"/>
          <w14:ligatures w14:val="none"/>
        </w:rPr>
        <w:t>9</w:t>
      </w:r>
      <w:r w:rsidRPr="00512D3C">
        <w:rPr>
          <w:rFonts w:ascii="Verdana" w:eastAsia="Times New Roman" w:hAnsi="Verdana" w:cs="Times New Roman"/>
          <w:color w:val="000000"/>
          <w:kern w:val="0"/>
          <w:lang w:val="es-CO" w:eastAsia="es-MX"/>
          <w14:ligatures w14:val="none"/>
        </w:rPr>
        <w:t xml:space="preserve"> (así como en los demás territorios expresamente señalados en la norma)</w:t>
      </w:r>
      <w:r w:rsidRPr="00512D3C">
        <w:rPr>
          <w:rFonts w:ascii="Verdana" w:eastAsia="Times New Roman" w:hAnsi="Verdana" w:cs="Times New Roman"/>
          <w:color w:val="000000"/>
          <w:kern w:val="0"/>
          <w:sz w:val="14"/>
          <w:szCs w:val="14"/>
          <w:vertAlign w:val="superscript"/>
          <w:lang w:val="es-CO" w:eastAsia="es-MX"/>
          <w14:ligatures w14:val="none"/>
        </w:rPr>
        <w:t>10</w:t>
      </w:r>
      <w:r w:rsidRPr="00512D3C">
        <w:rPr>
          <w:rFonts w:ascii="Verdana" w:eastAsia="Times New Roman" w:hAnsi="Verdana" w:cs="Times New Roman"/>
          <w:color w:val="000000"/>
          <w:kern w:val="0"/>
          <w:lang w:val="es-CO" w:eastAsia="es-MX"/>
          <w14:ligatures w14:val="none"/>
        </w:rPr>
        <w:t>, salvo que en dicho lugar se desarrollen actividades de explotación de hidrocarburos o refinación de combustibles, en cuyo caso se aplicará la tarifa plena del tributo.</w:t>
      </w:r>
    </w:p>
    <w:p w14:paraId="323B7A66"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2ED37485" w14:textId="77777777" w:rsidR="00512D3C" w:rsidRPr="00512D3C" w:rsidRDefault="00512D3C" w:rsidP="00512D3C">
      <w:pPr>
        <w:numPr>
          <w:ilvl w:val="0"/>
          <w:numId w:val="7"/>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En cuanto a la interpretación del parágrafo en cuestión, este Despacho ha considerado que la preposición «en»</w:t>
      </w:r>
      <w:r w:rsidRPr="00512D3C">
        <w:rPr>
          <w:rFonts w:ascii="Verdana" w:eastAsia="Times New Roman" w:hAnsi="Verdana" w:cs="Times New Roman"/>
          <w:color w:val="000000"/>
          <w:kern w:val="0"/>
          <w:sz w:val="14"/>
          <w:szCs w:val="14"/>
          <w:vertAlign w:val="superscript"/>
          <w:lang w:val="es-CO" w:eastAsia="es-MX"/>
          <w14:ligatures w14:val="none"/>
        </w:rPr>
        <w:t>11</w:t>
      </w:r>
      <w:r w:rsidRPr="00512D3C">
        <w:rPr>
          <w:rFonts w:ascii="Verdana" w:eastAsia="Times New Roman" w:hAnsi="Verdana" w:cs="Times New Roman"/>
          <w:color w:val="000000"/>
          <w:kern w:val="0"/>
          <w:lang w:val="es-CO" w:eastAsia="es-MX"/>
          <w14:ligatures w14:val="none"/>
        </w:rPr>
        <w:t xml:space="preserve"> seguida del listado de departamentos y municipios utilizada por el legislador denota una relación de lugar o espacial</w:t>
      </w:r>
      <w:r w:rsidRPr="00512D3C">
        <w:rPr>
          <w:rFonts w:ascii="Verdana" w:eastAsia="Times New Roman" w:hAnsi="Verdana" w:cs="Times New Roman"/>
          <w:color w:val="000000"/>
          <w:kern w:val="0"/>
          <w:sz w:val="14"/>
          <w:szCs w:val="14"/>
          <w:vertAlign w:val="superscript"/>
          <w:lang w:val="es-CO" w:eastAsia="es-MX"/>
          <w14:ligatures w14:val="none"/>
        </w:rPr>
        <w:t>12</w:t>
      </w:r>
      <w:r w:rsidRPr="00512D3C">
        <w:rPr>
          <w:rFonts w:ascii="Verdana" w:eastAsia="Times New Roman" w:hAnsi="Verdana" w:cs="Times New Roman"/>
          <w:color w:val="000000"/>
          <w:kern w:val="0"/>
          <w:lang w:val="es-CO" w:eastAsia="es-MX"/>
          <w14:ligatures w14:val="none"/>
        </w:rPr>
        <w:t>, lo cual implica que la configuración del hecho generador debe verificarse dentro del territorio expresamente señalado para efectos de aplicar la tarifa especial. Dicho de otro modo, la expresión delimita el lugar en el cual debe perfeccionarse el hecho generador a efectos de que resulte aplicable la tarifa de cero pesos.</w:t>
      </w:r>
    </w:p>
    <w:p w14:paraId="0129E784"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3FA35439" w14:textId="77777777" w:rsidR="00512D3C" w:rsidRPr="00512D3C" w:rsidRDefault="00512D3C" w:rsidP="00512D3C">
      <w:pPr>
        <w:numPr>
          <w:ilvl w:val="0"/>
          <w:numId w:val="8"/>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 xml:space="preserve">Este aspecto adquiere especial relevancia si se tiene en cuenta que el INC es un tributo de causación inmediata y monofásica, de manera que se genera una única vez al momento en que se materializa por primera vez alguno de los hechos generadores previstos. Así, por ejemplo, tratándose del hecho generador de la venta dentro del territorio nacional, el inciso cuarto del artículo 221 de la Ley 1819 de 2016 establece que el sujeto pasivo del impuesto será «quien adquiera los combustibles fósiles del productor o el importador», precisando además que la </w:t>
      </w:r>
      <w:proofErr w:type="spellStart"/>
      <w:r w:rsidRPr="00512D3C">
        <w:rPr>
          <w:rFonts w:ascii="Verdana" w:eastAsia="Times New Roman" w:hAnsi="Verdana" w:cs="Times New Roman"/>
          <w:color w:val="000000"/>
          <w:kern w:val="0"/>
          <w:lang w:val="es-CO" w:eastAsia="es-MX"/>
          <w14:ligatures w14:val="none"/>
        </w:rPr>
        <w:t>causación</w:t>
      </w:r>
      <w:proofErr w:type="spellEnd"/>
      <w:r w:rsidRPr="00512D3C">
        <w:rPr>
          <w:rFonts w:ascii="Verdana" w:eastAsia="Times New Roman" w:hAnsi="Verdana" w:cs="Times New Roman"/>
          <w:color w:val="000000"/>
          <w:kern w:val="0"/>
          <w:lang w:val="es-CO" w:eastAsia="es-MX"/>
          <w14:ligatures w14:val="none"/>
        </w:rPr>
        <w:t xml:space="preserve"> de </w:t>
      </w:r>
      <w:r w:rsidRPr="00512D3C">
        <w:rPr>
          <w:rFonts w:ascii="Verdana" w:eastAsia="Times New Roman" w:hAnsi="Verdana" w:cs="Times New Roman"/>
          <w:color w:val="000000"/>
          <w:kern w:val="0"/>
          <w:lang w:val="es-CO" w:eastAsia="es-MX"/>
          <w14:ligatures w14:val="none"/>
        </w:rPr>
        <w:lastRenderedPageBreak/>
        <w:t>este hecho generador se configura en la fecha de expedición de la factura por parte del productor.</w:t>
      </w:r>
    </w:p>
    <w:p w14:paraId="77E2DB0F"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54FAB746" w14:textId="77777777" w:rsidR="00512D3C" w:rsidRPr="00512D3C" w:rsidRDefault="00512D3C" w:rsidP="00512D3C">
      <w:pPr>
        <w:numPr>
          <w:ilvl w:val="0"/>
          <w:numId w:val="9"/>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Así, si el productor realiza la venta desde o para un lugar distinto a los territorios cobijados por el beneficio —como el Departamento del Amazonas—, le corresponde autoliquidar y pagar el impuesto</w:t>
      </w:r>
      <w:r w:rsidRPr="00512D3C">
        <w:rPr>
          <w:rFonts w:ascii="Verdana" w:eastAsia="Times New Roman" w:hAnsi="Verdana" w:cs="Times New Roman"/>
          <w:color w:val="000000"/>
          <w:kern w:val="0"/>
          <w:sz w:val="14"/>
          <w:szCs w:val="14"/>
          <w:vertAlign w:val="superscript"/>
          <w:lang w:val="es-CO" w:eastAsia="es-MX"/>
          <w14:ligatures w14:val="none"/>
        </w:rPr>
        <w:t>13</w:t>
      </w:r>
      <w:r w:rsidRPr="00512D3C">
        <w:rPr>
          <w:rFonts w:ascii="Verdana" w:eastAsia="Times New Roman" w:hAnsi="Verdana" w:cs="Times New Roman"/>
          <w:color w:val="000000"/>
          <w:kern w:val="0"/>
          <w:lang w:val="es-CO" w:eastAsia="es-MX"/>
          <w14:ligatures w14:val="none"/>
        </w:rPr>
        <w:t>, al no configurarse el supuesto espacial exigido para la aplicación de la tarifa de cero pesos</w:t>
      </w:r>
      <w:r w:rsidRPr="00512D3C">
        <w:rPr>
          <w:rFonts w:ascii="Verdana" w:eastAsia="Times New Roman" w:hAnsi="Verdana" w:cs="Times New Roman"/>
          <w:color w:val="000000"/>
          <w:kern w:val="0"/>
          <w:sz w:val="14"/>
          <w:szCs w:val="14"/>
          <w:vertAlign w:val="superscript"/>
          <w:lang w:val="es-CO" w:eastAsia="es-MX"/>
          <w14:ligatures w14:val="none"/>
        </w:rPr>
        <w:t>14</w:t>
      </w:r>
      <w:r w:rsidRPr="00512D3C">
        <w:rPr>
          <w:rFonts w:ascii="Verdana" w:eastAsia="Times New Roman" w:hAnsi="Verdana" w:cs="Times New Roman"/>
          <w:color w:val="000000"/>
          <w:kern w:val="0"/>
          <w:lang w:val="es-CO" w:eastAsia="es-MX"/>
          <w14:ligatures w14:val="none"/>
        </w:rPr>
        <w:t>.</w:t>
      </w:r>
    </w:p>
    <w:p w14:paraId="3155D6C4" w14:textId="77777777" w:rsidR="00512D3C" w:rsidRPr="00512D3C" w:rsidRDefault="00512D3C" w:rsidP="00512D3C">
      <w:pPr>
        <w:rPr>
          <w:rFonts w:ascii="Times New Roman" w:eastAsia="Times New Roman" w:hAnsi="Times New Roman" w:cs="Times New Roman"/>
          <w:kern w:val="0"/>
          <w:lang w:val="es-CO" w:eastAsia="es-MX"/>
          <w14:ligatures w14:val="none"/>
        </w:rPr>
      </w:pPr>
      <w:r w:rsidRPr="00512D3C">
        <w:rPr>
          <w:rFonts w:ascii="Times New Roman" w:eastAsia="Times New Roman" w:hAnsi="Times New Roman" w:cs="Times New Roman"/>
          <w:kern w:val="0"/>
          <w:lang w:val="es-CO" w:eastAsia="es-MX"/>
          <w14:ligatures w14:val="none"/>
        </w:rPr>
        <w:br/>
      </w:r>
    </w:p>
    <w:p w14:paraId="451CEAFB" w14:textId="77777777" w:rsidR="00512D3C" w:rsidRPr="00512D3C" w:rsidRDefault="00512D3C" w:rsidP="00512D3C">
      <w:pPr>
        <w:numPr>
          <w:ilvl w:val="0"/>
          <w:numId w:val="10"/>
        </w:numPr>
        <w:jc w:val="both"/>
        <w:textAlignment w:val="baseline"/>
        <w:rPr>
          <w:rFonts w:ascii="Verdana" w:eastAsia="Times New Roman" w:hAnsi="Verdana" w:cs="Times New Roman"/>
          <w:color w:val="000000"/>
          <w:kern w:val="0"/>
          <w:lang w:val="es-CO" w:eastAsia="es-MX"/>
          <w14:ligatures w14:val="none"/>
        </w:rPr>
      </w:pPr>
      <w:r w:rsidRPr="00512D3C">
        <w:rPr>
          <w:rFonts w:ascii="Verdana" w:eastAsia="Times New Roman" w:hAnsi="Verdana" w:cs="Times New Roman"/>
          <w:color w:val="000000"/>
          <w:kern w:val="0"/>
          <w:lang w:val="es-CO" w:eastAsia="es-MX"/>
          <w14:ligatures w14:val="none"/>
        </w:rPr>
        <w:t>En conclusión, la tarifa del 0% del INC, prevista en el parágrafo 7 del artículo 222 de la Ley 1819 de 2016, modificado por el artículo 48 de la Ley 2277 de 2022, no resulta aplicable cuando los hechos generadores —venta, importación o retiro para consumo propio— se perfeccionan por fuera de los territorios expresamente señalados por la norma para la aplicación del beneficio fiscal, aun cuando el destino final de los combustibles sea alguno de dichos territorios.</w:t>
      </w:r>
    </w:p>
    <w:p w14:paraId="016F677E"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29E20B1E"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512D3C">
          <w:rPr>
            <w:rFonts w:ascii="Verdana" w:eastAsia="Times New Roman" w:hAnsi="Verdana" w:cs="Times New Roman"/>
            <w:color w:val="000000"/>
            <w:kern w:val="0"/>
            <w:u w:val="single"/>
            <w:lang w:val="es-CO" w:eastAsia="es-MX"/>
            <w14:ligatures w14:val="none"/>
          </w:rPr>
          <w:t>https://normograma.dian.gov.co/dian/</w:t>
        </w:r>
      </w:hyperlink>
      <w:r w:rsidRPr="00512D3C">
        <w:rPr>
          <w:rFonts w:ascii="Verdana" w:eastAsia="Times New Roman" w:hAnsi="Verdana" w:cs="Times New Roman"/>
          <w:color w:val="000000"/>
          <w:kern w:val="0"/>
          <w:lang w:val="es-CO" w:eastAsia="es-MX"/>
          <w14:ligatures w14:val="none"/>
        </w:rPr>
        <w:t>.</w:t>
      </w:r>
    </w:p>
    <w:p w14:paraId="5FD1362B"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781804C5"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Atentamente,</w:t>
      </w:r>
    </w:p>
    <w:p w14:paraId="4C7BE670"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48442DAE" w14:textId="77777777" w:rsidR="00512D3C" w:rsidRPr="00512D3C" w:rsidRDefault="00512D3C" w:rsidP="00512D3C">
      <w:pPr>
        <w:jc w:val="both"/>
        <w:outlineLvl w:val="0"/>
        <w:rPr>
          <w:rFonts w:ascii="Times New Roman" w:eastAsia="Times New Roman" w:hAnsi="Times New Roman" w:cs="Times New Roman"/>
          <w:b/>
          <w:bCs/>
          <w:kern w:val="36"/>
          <w:sz w:val="48"/>
          <w:szCs w:val="48"/>
          <w:lang w:val="es-CO" w:eastAsia="es-MX"/>
          <w14:ligatures w14:val="none"/>
        </w:rPr>
      </w:pPr>
      <w:r w:rsidRPr="00512D3C">
        <w:rPr>
          <w:rFonts w:ascii="Verdana" w:eastAsia="Times New Roman" w:hAnsi="Verdana" w:cs="Times New Roman"/>
          <w:b/>
          <w:bCs/>
          <w:color w:val="000000"/>
          <w:kern w:val="36"/>
          <w:lang w:val="es-CO" w:eastAsia="es-MX"/>
          <w14:ligatures w14:val="none"/>
        </w:rPr>
        <w:t>INGRID CASTAÑEDA CEPEDA</w:t>
      </w:r>
    </w:p>
    <w:p w14:paraId="7A9941A0"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Subdirectora de Normativa y Doctrina (A) </w:t>
      </w:r>
    </w:p>
    <w:p w14:paraId="64779A06"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Dirección de Gestión Jurídica</w:t>
      </w:r>
    </w:p>
    <w:p w14:paraId="5B5CBE9B"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U.A.E. Dirección de Impuestos y Aduanas Nacionales – DIAN </w:t>
      </w:r>
    </w:p>
    <w:p w14:paraId="100925C4"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 xml:space="preserve">Dirección: </w:t>
      </w:r>
      <w:proofErr w:type="spellStart"/>
      <w:r w:rsidRPr="00512D3C">
        <w:rPr>
          <w:rFonts w:ascii="Verdana" w:eastAsia="Times New Roman" w:hAnsi="Verdana" w:cs="Times New Roman"/>
          <w:color w:val="000000"/>
          <w:kern w:val="0"/>
          <w:lang w:val="es-CO" w:eastAsia="es-MX"/>
          <w14:ligatures w14:val="none"/>
        </w:rPr>
        <w:t>Cra</w:t>
      </w:r>
      <w:proofErr w:type="spellEnd"/>
      <w:r w:rsidRPr="00512D3C">
        <w:rPr>
          <w:rFonts w:ascii="Verdana" w:eastAsia="Times New Roman" w:hAnsi="Verdana" w:cs="Times New Roman"/>
          <w:color w:val="000000"/>
          <w:kern w:val="0"/>
          <w:lang w:val="es-CO" w:eastAsia="es-MX"/>
          <w14:ligatures w14:val="none"/>
        </w:rPr>
        <w:t>. 8 # 6C-38 Edificio San Agustín - Piso 4 </w:t>
      </w:r>
    </w:p>
    <w:p w14:paraId="49FA816E"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r w:rsidRPr="00512D3C">
        <w:rPr>
          <w:rFonts w:ascii="Verdana" w:eastAsia="Times New Roman" w:hAnsi="Verdana" w:cs="Times New Roman"/>
          <w:color w:val="000000"/>
          <w:kern w:val="0"/>
          <w:lang w:val="es-CO" w:eastAsia="es-MX"/>
          <w14:ligatures w14:val="none"/>
        </w:rPr>
        <w:t>Bogotá, D.C.</w:t>
      </w:r>
    </w:p>
    <w:p w14:paraId="2A443FC4" w14:textId="77777777" w:rsidR="00512D3C" w:rsidRPr="00512D3C" w:rsidRDefault="00512D3C" w:rsidP="00512D3C">
      <w:pPr>
        <w:jc w:val="both"/>
        <w:rPr>
          <w:rFonts w:ascii="Times New Roman" w:eastAsia="Times New Roman" w:hAnsi="Times New Roman" w:cs="Times New Roman"/>
          <w:kern w:val="0"/>
          <w:lang w:val="es-CO" w:eastAsia="es-MX"/>
          <w14:ligatures w14:val="none"/>
        </w:rPr>
      </w:pPr>
      <w:hyperlink r:id="rId6" w:history="1">
        <w:r w:rsidRPr="00512D3C">
          <w:rPr>
            <w:rFonts w:ascii="Verdana" w:eastAsia="Times New Roman" w:hAnsi="Verdana" w:cs="Times New Roman"/>
            <w:color w:val="000000"/>
            <w:kern w:val="0"/>
            <w:u w:val="single"/>
            <w:lang w:val="es-CO" w:eastAsia="es-MX"/>
            <w14:ligatures w14:val="none"/>
          </w:rPr>
          <w:t>www.dian.gov.co</w:t>
        </w:r>
      </w:hyperlink>
    </w:p>
    <w:p w14:paraId="174EFDC6" w14:textId="77777777" w:rsidR="00512D3C" w:rsidRPr="00512D3C" w:rsidRDefault="00512D3C" w:rsidP="00512D3C">
      <w:pPr>
        <w:rPr>
          <w:rFonts w:ascii="Times New Roman" w:eastAsia="Times New Roman" w:hAnsi="Times New Roman" w:cs="Times New Roman"/>
          <w:kern w:val="0"/>
          <w:lang w:val="es-CO" w:eastAsia="es-MX"/>
          <w14:ligatures w14:val="none"/>
        </w:rPr>
      </w:pPr>
    </w:p>
    <w:p w14:paraId="403B25F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A01FF"/>
    <w:multiLevelType w:val="multilevel"/>
    <w:tmpl w:val="A0B02D6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325871"/>
    <w:multiLevelType w:val="multilevel"/>
    <w:tmpl w:val="58229CD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725504"/>
    <w:multiLevelType w:val="multilevel"/>
    <w:tmpl w:val="A866DD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0613A0"/>
    <w:multiLevelType w:val="multilevel"/>
    <w:tmpl w:val="43F80F4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7573B6E"/>
    <w:multiLevelType w:val="multilevel"/>
    <w:tmpl w:val="38A47A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153362"/>
    <w:multiLevelType w:val="multilevel"/>
    <w:tmpl w:val="01DCC2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C813019"/>
    <w:multiLevelType w:val="multilevel"/>
    <w:tmpl w:val="E2AA4CA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881911"/>
    <w:multiLevelType w:val="multilevel"/>
    <w:tmpl w:val="D08866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0A2003D"/>
    <w:multiLevelType w:val="multilevel"/>
    <w:tmpl w:val="A2AAF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3E6A02"/>
    <w:multiLevelType w:val="multilevel"/>
    <w:tmpl w:val="429827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37062227">
    <w:abstractNumId w:val="8"/>
  </w:num>
  <w:num w:numId="2" w16cid:durableId="838808811">
    <w:abstractNumId w:val="5"/>
    <w:lvlOverride w:ilvl="0">
      <w:lvl w:ilvl="0">
        <w:numFmt w:val="decimal"/>
        <w:lvlText w:val="%1."/>
        <w:lvlJc w:val="left"/>
      </w:lvl>
    </w:lvlOverride>
  </w:num>
  <w:num w:numId="3" w16cid:durableId="1190608179">
    <w:abstractNumId w:val="9"/>
    <w:lvlOverride w:ilvl="0">
      <w:lvl w:ilvl="0">
        <w:numFmt w:val="decimal"/>
        <w:lvlText w:val="%1."/>
        <w:lvlJc w:val="left"/>
      </w:lvl>
    </w:lvlOverride>
  </w:num>
  <w:num w:numId="4" w16cid:durableId="859247433">
    <w:abstractNumId w:val="4"/>
    <w:lvlOverride w:ilvl="0">
      <w:lvl w:ilvl="0">
        <w:numFmt w:val="decimal"/>
        <w:lvlText w:val="%1."/>
        <w:lvlJc w:val="left"/>
      </w:lvl>
    </w:lvlOverride>
  </w:num>
  <w:num w:numId="5" w16cid:durableId="1529488208">
    <w:abstractNumId w:val="7"/>
    <w:lvlOverride w:ilvl="0">
      <w:lvl w:ilvl="0">
        <w:numFmt w:val="decimal"/>
        <w:lvlText w:val="%1."/>
        <w:lvlJc w:val="left"/>
      </w:lvl>
    </w:lvlOverride>
  </w:num>
  <w:num w:numId="6" w16cid:durableId="110439434">
    <w:abstractNumId w:val="2"/>
    <w:lvlOverride w:ilvl="0">
      <w:lvl w:ilvl="0">
        <w:numFmt w:val="decimal"/>
        <w:lvlText w:val="%1."/>
        <w:lvlJc w:val="left"/>
      </w:lvl>
    </w:lvlOverride>
  </w:num>
  <w:num w:numId="7" w16cid:durableId="414740804">
    <w:abstractNumId w:val="0"/>
    <w:lvlOverride w:ilvl="0">
      <w:lvl w:ilvl="0">
        <w:numFmt w:val="decimal"/>
        <w:lvlText w:val="%1."/>
        <w:lvlJc w:val="left"/>
      </w:lvl>
    </w:lvlOverride>
  </w:num>
  <w:num w:numId="8" w16cid:durableId="1141381104">
    <w:abstractNumId w:val="6"/>
    <w:lvlOverride w:ilvl="0">
      <w:lvl w:ilvl="0">
        <w:numFmt w:val="decimal"/>
        <w:lvlText w:val="%1."/>
        <w:lvlJc w:val="left"/>
      </w:lvl>
    </w:lvlOverride>
  </w:num>
  <w:num w:numId="9" w16cid:durableId="1801991542">
    <w:abstractNumId w:val="1"/>
    <w:lvlOverride w:ilvl="0">
      <w:lvl w:ilvl="0">
        <w:numFmt w:val="decimal"/>
        <w:lvlText w:val="%1."/>
        <w:lvlJc w:val="left"/>
      </w:lvl>
    </w:lvlOverride>
  </w:num>
  <w:num w:numId="10" w16cid:durableId="79717884">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D3C"/>
    <w:rsid w:val="000B2285"/>
    <w:rsid w:val="00512D3C"/>
    <w:rsid w:val="00537D8F"/>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EBDCBF0"/>
  <w14:defaultImageDpi w14:val="32767"/>
  <w15:chartTrackingRefBased/>
  <w15:docId w15:val="{E5B181D6-E3D7-6F4F-9F7F-B15D749C4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12D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12D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12D3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12D3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12D3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12D3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12D3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12D3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12D3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12D3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12D3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12D3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12D3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12D3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12D3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12D3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12D3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12D3C"/>
    <w:rPr>
      <w:rFonts w:eastAsiaTheme="majorEastAsia" w:cstheme="majorBidi"/>
      <w:color w:val="272727" w:themeColor="text1" w:themeTint="D8"/>
    </w:rPr>
  </w:style>
  <w:style w:type="paragraph" w:styleId="Ttulo">
    <w:name w:val="Title"/>
    <w:basedOn w:val="Normal"/>
    <w:next w:val="Normal"/>
    <w:link w:val="TtuloCar"/>
    <w:uiPriority w:val="10"/>
    <w:qFormat/>
    <w:rsid w:val="00512D3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12D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12D3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12D3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12D3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12D3C"/>
    <w:rPr>
      <w:i/>
      <w:iCs/>
      <w:color w:val="404040" w:themeColor="text1" w:themeTint="BF"/>
    </w:rPr>
  </w:style>
  <w:style w:type="paragraph" w:styleId="Prrafodelista">
    <w:name w:val="List Paragraph"/>
    <w:basedOn w:val="Normal"/>
    <w:uiPriority w:val="34"/>
    <w:qFormat/>
    <w:rsid w:val="00512D3C"/>
    <w:pPr>
      <w:ind w:left="720"/>
      <w:contextualSpacing/>
    </w:pPr>
  </w:style>
  <w:style w:type="character" w:styleId="nfasisintenso">
    <w:name w:val="Intense Emphasis"/>
    <w:basedOn w:val="Fuentedeprrafopredeter"/>
    <w:uiPriority w:val="21"/>
    <w:qFormat/>
    <w:rsid w:val="00512D3C"/>
    <w:rPr>
      <w:i/>
      <w:iCs/>
      <w:color w:val="2F5496" w:themeColor="accent1" w:themeShade="BF"/>
    </w:rPr>
  </w:style>
  <w:style w:type="paragraph" w:styleId="Citadestacada">
    <w:name w:val="Intense Quote"/>
    <w:basedOn w:val="Normal"/>
    <w:next w:val="Normal"/>
    <w:link w:val="CitadestacadaCar"/>
    <w:uiPriority w:val="30"/>
    <w:qFormat/>
    <w:rsid w:val="00512D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12D3C"/>
    <w:rPr>
      <w:i/>
      <w:iCs/>
      <w:color w:val="2F5496" w:themeColor="accent1" w:themeShade="BF"/>
    </w:rPr>
  </w:style>
  <w:style w:type="character" w:styleId="Referenciaintensa">
    <w:name w:val="Intense Reference"/>
    <w:basedOn w:val="Fuentedeprrafopredeter"/>
    <w:uiPriority w:val="32"/>
    <w:qFormat/>
    <w:rsid w:val="00512D3C"/>
    <w:rPr>
      <w:b/>
      <w:bCs/>
      <w:smallCaps/>
      <w:color w:val="2F5496" w:themeColor="accent1" w:themeShade="BF"/>
      <w:spacing w:val="5"/>
    </w:rPr>
  </w:style>
  <w:style w:type="paragraph" w:styleId="NormalWeb">
    <w:name w:val="Normal (Web)"/>
    <w:basedOn w:val="Normal"/>
    <w:uiPriority w:val="99"/>
    <w:semiHidden/>
    <w:unhideWhenUsed/>
    <w:rsid w:val="00512D3C"/>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12D3C"/>
  </w:style>
  <w:style w:type="character" w:styleId="Hipervnculo">
    <w:name w:val="Hyperlink"/>
    <w:basedOn w:val="Fuentedeprrafopredeter"/>
    <w:uiPriority w:val="99"/>
    <w:semiHidden/>
    <w:unhideWhenUsed/>
    <w:rsid w:val="00512D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872</Words>
  <Characters>4801</Characters>
  <Application>Microsoft Office Word</Application>
  <DocSecurity>0</DocSecurity>
  <Lines>40</Lines>
  <Paragraphs>11</Paragraphs>
  <ScaleCrop>false</ScaleCrop>
  <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2025-10-21T14:12:00Z</dcterms:created>
  <dcterms:modified xsi:type="dcterms:W3CDTF">2025-10-21T14:14:00Z</dcterms:modified>
</cp:coreProperties>
</file>