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2CB322" w14:textId="77777777" w:rsidR="00F35591" w:rsidRPr="00F35591" w:rsidRDefault="00F35591" w:rsidP="00F35591">
      <w:pPr>
        <w:jc w:val="both"/>
        <w:rPr>
          <w:rFonts w:ascii="Times New Roman" w:eastAsia="Times New Roman" w:hAnsi="Times New Roman" w:cs="Times New Roman"/>
          <w:kern w:val="0"/>
          <w:lang w:val="es-CO" w:eastAsia="es-MX"/>
          <w14:ligatures w14:val="none"/>
        </w:rPr>
      </w:pPr>
      <w:r w:rsidRPr="00F35591">
        <w:rPr>
          <w:rFonts w:ascii="Verdana" w:eastAsia="Times New Roman" w:hAnsi="Verdana" w:cs="Times New Roman"/>
          <w:b/>
          <w:bCs/>
          <w:color w:val="000000"/>
          <w:kern w:val="0"/>
          <w:lang w:val="es-CO" w:eastAsia="es-MX"/>
          <w14:ligatures w14:val="none"/>
        </w:rPr>
        <w:t>CONCEPTO DIAN 1173 DEL 4 DE AGOSTO DE 2025</w:t>
      </w:r>
    </w:p>
    <w:p w14:paraId="07E0D2FB" w14:textId="77777777" w:rsidR="00F35591" w:rsidRPr="00F35591" w:rsidRDefault="00F35591" w:rsidP="00F35591">
      <w:pPr>
        <w:jc w:val="both"/>
        <w:rPr>
          <w:rFonts w:ascii="Times New Roman" w:eastAsia="Times New Roman" w:hAnsi="Times New Roman" w:cs="Times New Roman"/>
          <w:kern w:val="0"/>
          <w:lang w:val="es-CO" w:eastAsia="es-MX"/>
          <w14:ligatures w14:val="none"/>
        </w:rPr>
      </w:pPr>
      <w:r w:rsidRPr="00F35591">
        <w:rPr>
          <w:rFonts w:ascii="Verdana" w:eastAsia="Times New Roman" w:hAnsi="Verdana" w:cs="Times New Roman"/>
          <w:b/>
          <w:bCs/>
          <w:color w:val="000000"/>
          <w:kern w:val="0"/>
          <w:lang w:val="es-CO" w:eastAsia="es-MX"/>
          <w14:ligatures w14:val="none"/>
        </w:rPr>
        <w:t>DIRECCIÓN DE IMPUESTOS Y ADUANAS NACIONALES</w:t>
      </w:r>
    </w:p>
    <w:p w14:paraId="570AA06E" w14:textId="77777777" w:rsidR="00F35591" w:rsidRPr="00F35591" w:rsidRDefault="00F35591" w:rsidP="00F35591">
      <w:pPr>
        <w:rPr>
          <w:rFonts w:ascii="Times New Roman" w:eastAsia="Times New Roman" w:hAnsi="Times New Roman" w:cs="Times New Roman"/>
          <w:kern w:val="0"/>
          <w:lang w:val="es-CO" w:eastAsia="es-MX"/>
          <w14:ligatures w14:val="none"/>
        </w:rPr>
      </w:pPr>
    </w:p>
    <w:p w14:paraId="4DB9841A" w14:textId="77777777" w:rsidR="00F35591" w:rsidRPr="00F35591" w:rsidRDefault="00F35591" w:rsidP="00F35591">
      <w:pPr>
        <w:jc w:val="both"/>
        <w:rPr>
          <w:rFonts w:ascii="Times New Roman" w:eastAsia="Times New Roman" w:hAnsi="Times New Roman" w:cs="Times New Roman"/>
          <w:kern w:val="0"/>
          <w:lang w:val="es-CO" w:eastAsia="es-MX"/>
          <w14:ligatures w14:val="none"/>
        </w:rPr>
      </w:pPr>
      <w:r w:rsidRPr="00F35591">
        <w:rPr>
          <w:rFonts w:ascii="Verdana" w:eastAsia="Times New Roman" w:hAnsi="Verdana" w:cs="Times New Roman"/>
          <w:color w:val="000000"/>
          <w:kern w:val="0"/>
          <w:lang w:val="es-CO" w:eastAsia="es-MX"/>
          <w14:ligatures w14:val="none"/>
        </w:rPr>
        <w:t>Bogotá, D.C., 04 de agosto de 2025.</w:t>
      </w:r>
    </w:p>
    <w:p w14:paraId="610DB66E" w14:textId="77777777" w:rsidR="00F35591" w:rsidRPr="00F35591" w:rsidRDefault="00F35591" w:rsidP="00F35591">
      <w:pPr>
        <w:rPr>
          <w:rFonts w:ascii="Times New Roman" w:eastAsia="Times New Roman" w:hAnsi="Times New Roman" w:cs="Times New Roman"/>
          <w:kern w:val="0"/>
          <w:lang w:val="es-CO" w:eastAsia="es-MX"/>
          <w14:ligatures w14:val="none"/>
        </w:rPr>
      </w:pPr>
    </w:p>
    <w:p w14:paraId="661C83C2" w14:textId="77777777" w:rsidR="00F35591" w:rsidRPr="00F35591" w:rsidRDefault="00F35591" w:rsidP="00F35591">
      <w:pPr>
        <w:jc w:val="both"/>
        <w:rPr>
          <w:rFonts w:ascii="Times New Roman" w:eastAsia="Times New Roman" w:hAnsi="Times New Roman" w:cs="Times New Roman"/>
          <w:kern w:val="0"/>
          <w:lang w:val="es-CO" w:eastAsia="es-MX"/>
          <w14:ligatures w14:val="none"/>
        </w:rPr>
      </w:pPr>
      <w:r w:rsidRPr="00F35591">
        <w:rPr>
          <w:rFonts w:ascii="Verdana" w:eastAsia="Times New Roman" w:hAnsi="Verdana" w:cs="Times New Roman"/>
          <w:color w:val="000000"/>
          <w:kern w:val="0"/>
          <w:lang w:val="es-CO" w:eastAsia="es-MX"/>
          <w14:ligatures w14:val="none"/>
        </w:rPr>
        <w:t>Cordial saludo,</w:t>
      </w:r>
    </w:p>
    <w:p w14:paraId="6EF79598" w14:textId="77777777" w:rsidR="00F35591" w:rsidRPr="00F35591" w:rsidRDefault="00F35591" w:rsidP="00F35591">
      <w:pPr>
        <w:rPr>
          <w:rFonts w:ascii="Times New Roman" w:eastAsia="Times New Roman" w:hAnsi="Times New Roman" w:cs="Times New Roman"/>
          <w:kern w:val="0"/>
          <w:lang w:val="es-CO" w:eastAsia="es-MX"/>
          <w14:ligatures w14:val="none"/>
        </w:rPr>
      </w:pPr>
      <w:r w:rsidRPr="00F35591">
        <w:rPr>
          <w:rFonts w:ascii="Times New Roman" w:eastAsia="Times New Roman" w:hAnsi="Times New Roman" w:cs="Times New Roman"/>
          <w:kern w:val="0"/>
          <w:lang w:val="es-CO" w:eastAsia="es-MX"/>
          <w14:ligatures w14:val="none"/>
        </w:rPr>
        <w:br/>
      </w:r>
    </w:p>
    <w:p w14:paraId="2B32EC8B" w14:textId="77777777" w:rsidR="00F35591" w:rsidRPr="00F35591" w:rsidRDefault="00F35591" w:rsidP="00F35591">
      <w:pPr>
        <w:numPr>
          <w:ilvl w:val="0"/>
          <w:numId w:val="1"/>
        </w:numPr>
        <w:ind w:left="360"/>
        <w:jc w:val="both"/>
        <w:textAlignment w:val="baseline"/>
        <w:rPr>
          <w:rFonts w:ascii="Verdana" w:eastAsia="Times New Roman" w:hAnsi="Verdana" w:cs="Times New Roman"/>
          <w:color w:val="000000"/>
          <w:kern w:val="0"/>
          <w:lang w:val="es-CO" w:eastAsia="es-MX"/>
          <w14:ligatures w14:val="none"/>
        </w:rPr>
      </w:pPr>
      <w:r w:rsidRPr="00F35591">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cambiaria, en lo de competencia de la DIAN</w:t>
      </w:r>
      <w:r w:rsidRPr="00F35591">
        <w:rPr>
          <w:rFonts w:ascii="Verdana" w:eastAsia="Times New Roman" w:hAnsi="Verdana" w:cs="Times New Roman"/>
          <w:color w:val="000000"/>
          <w:kern w:val="0"/>
          <w:sz w:val="14"/>
          <w:szCs w:val="14"/>
          <w:vertAlign w:val="superscript"/>
          <w:lang w:val="es-CO" w:eastAsia="es-MX"/>
          <w14:ligatures w14:val="none"/>
        </w:rPr>
        <w:t>1</w:t>
      </w:r>
      <w:r w:rsidRPr="00F35591">
        <w:rPr>
          <w:rFonts w:ascii="Verdana" w:eastAsia="Times New Roman" w:hAnsi="Verdana" w:cs="Times New Roman"/>
          <w:color w:val="000000"/>
          <w:kern w:val="0"/>
          <w:lang w:val="es-CO" w:eastAsia="es-MX"/>
          <w14:ligatures w14:val="none"/>
        </w:rPr>
        <w:t>. En este sentido, la doctrina emitida será de carácter general, no se referirá a asuntos particulares y se someterá a lo consagrado en el artículo 131 de la Ley 2010 de 2019</w:t>
      </w:r>
      <w:r w:rsidRPr="00F35591">
        <w:rPr>
          <w:rFonts w:ascii="Verdana" w:eastAsia="Times New Roman" w:hAnsi="Verdana" w:cs="Times New Roman"/>
          <w:color w:val="000000"/>
          <w:kern w:val="0"/>
          <w:sz w:val="14"/>
          <w:szCs w:val="14"/>
          <w:vertAlign w:val="superscript"/>
          <w:lang w:val="es-CO" w:eastAsia="es-MX"/>
          <w14:ligatures w14:val="none"/>
        </w:rPr>
        <w:t>2</w:t>
      </w:r>
      <w:r w:rsidRPr="00F35591">
        <w:rPr>
          <w:rFonts w:ascii="Verdana" w:eastAsia="Times New Roman" w:hAnsi="Verdana" w:cs="Times New Roman"/>
          <w:color w:val="000000"/>
          <w:kern w:val="0"/>
          <w:lang w:val="es-CO" w:eastAsia="es-MX"/>
          <w14:ligatures w14:val="none"/>
        </w:rPr>
        <w:t>.</w:t>
      </w:r>
    </w:p>
    <w:p w14:paraId="5BA961CB" w14:textId="77777777" w:rsidR="00F35591" w:rsidRPr="00F35591" w:rsidRDefault="00F35591" w:rsidP="00F35591">
      <w:pPr>
        <w:rPr>
          <w:rFonts w:ascii="Times New Roman" w:eastAsia="Times New Roman" w:hAnsi="Times New Roman" w:cs="Times New Roman"/>
          <w:kern w:val="0"/>
          <w:lang w:val="es-CO" w:eastAsia="es-MX"/>
          <w14:ligatures w14:val="none"/>
        </w:rPr>
      </w:pPr>
      <w:r w:rsidRPr="00F35591">
        <w:rPr>
          <w:rFonts w:ascii="Times New Roman" w:eastAsia="Times New Roman" w:hAnsi="Times New Roman" w:cs="Times New Roman"/>
          <w:kern w:val="0"/>
          <w:lang w:val="es-CO" w:eastAsia="es-MX"/>
          <w14:ligatures w14:val="none"/>
        </w:rPr>
        <w:br/>
      </w:r>
    </w:p>
    <w:p w14:paraId="0C1985A9" w14:textId="77777777" w:rsidR="00F35591" w:rsidRPr="00F35591" w:rsidRDefault="00F35591" w:rsidP="00F35591">
      <w:pPr>
        <w:numPr>
          <w:ilvl w:val="0"/>
          <w:numId w:val="2"/>
        </w:numPr>
        <w:jc w:val="both"/>
        <w:textAlignment w:val="baseline"/>
        <w:rPr>
          <w:rFonts w:ascii="Verdana" w:eastAsia="Times New Roman" w:hAnsi="Verdana" w:cs="Times New Roman"/>
          <w:color w:val="000000"/>
          <w:kern w:val="0"/>
          <w:lang w:val="es-CO" w:eastAsia="es-MX"/>
          <w14:ligatures w14:val="none"/>
        </w:rPr>
      </w:pPr>
      <w:r w:rsidRPr="00F35591">
        <w:rPr>
          <w:rFonts w:ascii="Verdana" w:eastAsia="Times New Roman" w:hAnsi="Verdana" w:cs="Times New Roman"/>
          <w:color w:val="000000"/>
          <w:kern w:val="0"/>
          <w:lang w:val="es-CO" w:eastAsia="es-MX"/>
          <w14:ligatures w14:val="none"/>
        </w:rPr>
        <w:t>Respecto a la consulta acerca de si, ¿resulta exigible el documento soporte de pago de nómina electrónica (DSNE) para la procedencia de la deducción en el impuesto sobre la renta de los pagos laborales y prestacionales originados en litigios judiciales, incluso cuando el trabajador beneficiario del pago ya no mantiene una relación laboral vigente con el empleador?</w:t>
      </w:r>
    </w:p>
    <w:p w14:paraId="4A2960DD" w14:textId="77777777" w:rsidR="00F35591" w:rsidRPr="00F35591" w:rsidRDefault="00F35591" w:rsidP="00F35591">
      <w:pPr>
        <w:rPr>
          <w:rFonts w:ascii="Times New Roman" w:eastAsia="Times New Roman" w:hAnsi="Times New Roman" w:cs="Times New Roman"/>
          <w:kern w:val="0"/>
          <w:lang w:val="es-CO" w:eastAsia="es-MX"/>
          <w14:ligatures w14:val="none"/>
        </w:rPr>
      </w:pPr>
      <w:r w:rsidRPr="00F35591">
        <w:rPr>
          <w:rFonts w:ascii="Times New Roman" w:eastAsia="Times New Roman" w:hAnsi="Times New Roman" w:cs="Times New Roman"/>
          <w:kern w:val="0"/>
          <w:lang w:val="es-CO" w:eastAsia="es-MX"/>
          <w14:ligatures w14:val="none"/>
        </w:rPr>
        <w:br/>
      </w:r>
    </w:p>
    <w:p w14:paraId="3075C82A" w14:textId="77777777" w:rsidR="00F35591" w:rsidRPr="00F35591" w:rsidRDefault="00F35591" w:rsidP="00F35591">
      <w:pPr>
        <w:numPr>
          <w:ilvl w:val="0"/>
          <w:numId w:val="3"/>
        </w:numPr>
        <w:jc w:val="both"/>
        <w:textAlignment w:val="baseline"/>
        <w:rPr>
          <w:rFonts w:ascii="Verdana" w:eastAsia="Times New Roman" w:hAnsi="Verdana" w:cs="Times New Roman"/>
          <w:color w:val="000000"/>
          <w:kern w:val="0"/>
          <w:lang w:val="es-CO" w:eastAsia="es-MX"/>
          <w14:ligatures w14:val="none"/>
        </w:rPr>
      </w:pPr>
      <w:r w:rsidRPr="00F35591">
        <w:rPr>
          <w:rFonts w:ascii="Verdana" w:eastAsia="Times New Roman" w:hAnsi="Verdana" w:cs="Times New Roman"/>
          <w:color w:val="000000"/>
          <w:kern w:val="0"/>
          <w:lang w:val="es-CO" w:eastAsia="es-MX"/>
          <w14:ligatures w14:val="none"/>
        </w:rPr>
        <w:t>En efecto, la doctrina vigente</w:t>
      </w:r>
      <w:r w:rsidRPr="00F35591">
        <w:rPr>
          <w:rFonts w:ascii="Verdana" w:eastAsia="Times New Roman" w:hAnsi="Verdana" w:cs="Times New Roman"/>
          <w:color w:val="000000"/>
          <w:kern w:val="0"/>
          <w:sz w:val="14"/>
          <w:szCs w:val="14"/>
          <w:vertAlign w:val="superscript"/>
          <w:lang w:val="es-CO" w:eastAsia="es-MX"/>
          <w14:ligatures w14:val="none"/>
        </w:rPr>
        <w:t>3</w:t>
      </w:r>
      <w:r w:rsidRPr="00F35591">
        <w:rPr>
          <w:rFonts w:ascii="Verdana" w:eastAsia="Times New Roman" w:hAnsi="Verdana" w:cs="Times New Roman"/>
          <w:color w:val="000000"/>
          <w:kern w:val="0"/>
          <w:lang w:val="es-CO" w:eastAsia="es-MX"/>
          <w14:ligatures w14:val="none"/>
        </w:rPr>
        <w:t xml:space="preserve"> ha afirmado que para efectos de la procedencia de la deducción en el impuesto sobre la renta de pagos laborales y prestacionales —incluidos aquellos derivados de litigios— el empleador debe generar el documento soporte de pago de nómina electrónica, incluso si el beneficiario ya no tiene vínculo laboral vigente, en tanto se mantiene la naturaleza jurídica de los pagos como factor laboral.</w:t>
      </w:r>
    </w:p>
    <w:p w14:paraId="318CD0D8" w14:textId="77777777" w:rsidR="00F35591" w:rsidRPr="00F35591" w:rsidRDefault="00F35591" w:rsidP="00F35591">
      <w:pPr>
        <w:rPr>
          <w:rFonts w:ascii="Times New Roman" w:eastAsia="Times New Roman" w:hAnsi="Times New Roman" w:cs="Times New Roman"/>
          <w:kern w:val="0"/>
          <w:lang w:val="es-CO" w:eastAsia="es-MX"/>
          <w14:ligatures w14:val="none"/>
        </w:rPr>
      </w:pPr>
      <w:r w:rsidRPr="00F35591">
        <w:rPr>
          <w:rFonts w:ascii="Times New Roman" w:eastAsia="Times New Roman" w:hAnsi="Times New Roman" w:cs="Times New Roman"/>
          <w:kern w:val="0"/>
          <w:lang w:val="es-CO" w:eastAsia="es-MX"/>
          <w14:ligatures w14:val="none"/>
        </w:rPr>
        <w:br/>
      </w:r>
    </w:p>
    <w:p w14:paraId="0234C34B" w14:textId="77777777" w:rsidR="00F35591" w:rsidRPr="00F35591" w:rsidRDefault="00F35591" w:rsidP="00F35591">
      <w:pPr>
        <w:numPr>
          <w:ilvl w:val="0"/>
          <w:numId w:val="4"/>
        </w:numPr>
        <w:jc w:val="both"/>
        <w:textAlignment w:val="baseline"/>
        <w:rPr>
          <w:rFonts w:ascii="Verdana" w:eastAsia="Times New Roman" w:hAnsi="Verdana" w:cs="Times New Roman"/>
          <w:color w:val="000000"/>
          <w:kern w:val="0"/>
          <w:lang w:val="es-CO" w:eastAsia="es-MX"/>
          <w14:ligatures w14:val="none"/>
        </w:rPr>
      </w:pPr>
      <w:r w:rsidRPr="00F35591">
        <w:rPr>
          <w:rFonts w:ascii="Verdana" w:eastAsia="Times New Roman" w:hAnsi="Verdana" w:cs="Times New Roman"/>
          <w:color w:val="000000"/>
          <w:kern w:val="0"/>
          <w:lang w:val="es-CO" w:eastAsia="es-MX"/>
          <w14:ligatures w14:val="none"/>
        </w:rPr>
        <w:t>La doctrina referida reitera que en razón a lo dispuesto en el artículo 771-2 del Estatuto Tributario (E.T), el numeral 6 del artículo 1.6.1.4.3 del Decreto 1625 de 2016 y el numeral 6 del artículo 8 de la Resolución 000165 de 2023, las personas naturales vinculadas mediante relación laboral, legal o reglamentaria, así como los pensionados, no están obligados a expedir factura ni documento equivalente por los ingresos que perciban en virtud de dichas relaciones.</w:t>
      </w:r>
    </w:p>
    <w:p w14:paraId="3D34B909" w14:textId="77777777" w:rsidR="00F35591" w:rsidRPr="00F35591" w:rsidRDefault="00F35591" w:rsidP="00F35591">
      <w:pPr>
        <w:rPr>
          <w:rFonts w:ascii="Times New Roman" w:eastAsia="Times New Roman" w:hAnsi="Times New Roman" w:cs="Times New Roman"/>
          <w:kern w:val="0"/>
          <w:lang w:val="es-CO" w:eastAsia="es-MX"/>
          <w14:ligatures w14:val="none"/>
        </w:rPr>
      </w:pPr>
      <w:r w:rsidRPr="00F35591">
        <w:rPr>
          <w:rFonts w:ascii="Times New Roman" w:eastAsia="Times New Roman" w:hAnsi="Times New Roman" w:cs="Times New Roman"/>
          <w:kern w:val="0"/>
          <w:lang w:val="es-CO" w:eastAsia="es-MX"/>
          <w14:ligatures w14:val="none"/>
        </w:rPr>
        <w:br/>
      </w:r>
    </w:p>
    <w:p w14:paraId="2AAB6F3B" w14:textId="77777777" w:rsidR="00F35591" w:rsidRPr="00F35591" w:rsidRDefault="00F35591" w:rsidP="00F35591">
      <w:pPr>
        <w:numPr>
          <w:ilvl w:val="0"/>
          <w:numId w:val="5"/>
        </w:numPr>
        <w:jc w:val="both"/>
        <w:textAlignment w:val="baseline"/>
        <w:rPr>
          <w:rFonts w:ascii="Verdana" w:eastAsia="Times New Roman" w:hAnsi="Verdana" w:cs="Times New Roman"/>
          <w:color w:val="000000"/>
          <w:kern w:val="0"/>
          <w:lang w:val="es-CO" w:eastAsia="es-MX"/>
          <w14:ligatures w14:val="none"/>
        </w:rPr>
      </w:pPr>
      <w:r w:rsidRPr="00F35591">
        <w:rPr>
          <w:rFonts w:ascii="Verdana" w:eastAsia="Times New Roman" w:hAnsi="Verdana" w:cs="Times New Roman"/>
          <w:color w:val="000000"/>
          <w:kern w:val="0"/>
          <w:lang w:val="es-CO" w:eastAsia="es-MX"/>
          <w14:ligatures w14:val="none"/>
        </w:rPr>
        <w:t xml:space="preserve">No obstante, esta circunstancia no releva al empleador de su carga probatoria respecto de los costos, deducciones o impuestos descontables derivados de pagos efectuados en virtud de una relación laboral, legal o </w:t>
      </w:r>
      <w:r w:rsidRPr="00F35591">
        <w:rPr>
          <w:rFonts w:ascii="Verdana" w:eastAsia="Times New Roman" w:hAnsi="Verdana" w:cs="Times New Roman"/>
          <w:color w:val="000000"/>
          <w:kern w:val="0"/>
          <w:lang w:val="es-CO" w:eastAsia="es-MX"/>
          <w14:ligatures w14:val="none"/>
        </w:rPr>
        <w:lastRenderedPageBreak/>
        <w:t>reglamentaria, así como de aquellos realizados a pensionados a su cargo, puesto que, el artículo 2 de la Resolución DIAN 000013 de 2021</w:t>
      </w:r>
      <w:r w:rsidRPr="00F35591">
        <w:rPr>
          <w:rFonts w:ascii="Verdana" w:eastAsia="Times New Roman" w:hAnsi="Verdana" w:cs="Times New Roman"/>
          <w:color w:val="000000"/>
          <w:kern w:val="0"/>
          <w:sz w:val="14"/>
          <w:szCs w:val="14"/>
          <w:vertAlign w:val="superscript"/>
          <w:lang w:val="es-CO" w:eastAsia="es-MX"/>
          <w14:ligatures w14:val="none"/>
        </w:rPr>
        <w:t>4</w:t>
      </w:r>
      <w:r w:rsidRPr="00F35591">
        <w:rPr>
          <w:rFonts w:ascii="Verdana" w:eastAsia="Times New Roman" w:hAnsi="Verdana" w:cs="Times New Roman"/>
          <w:color w:val="000000"/>
          <w:kern w:val="0"/>
          <w:lang w:val="es-CO" w:eastAsia="es-MX"/>
          <w14:ligatures w14:val="none"/>
        </w:rPr>
        <w:t xml:space="preserve"> establece que, para efectos de la deducción por concepto de salarios, además de cumplir con los requisitos previstos en el artículo 108 del E.T., dichos pagos deben estar respaldados mediante el DSNE.</w:t>
      </w:r>
    </w:p>
    <w:p w14:paraId="0DD6F690" w14:textId="77777777" w:rsidR="00F35591" w:rsidRPr="00F35591" w:rsidRDefault="00F35591" w:rsidP="00F35591">
      <w:pPr>
        <w:rPr>
          <w:rFonts w:ascii="Times New Roman" w:eastAsia="Times New Roman" w:hAnsi="Times New Roman" w:cs="Times New Roman"/>
          <w:kern w:val="0"/>
          <w:lang w:val="es-CO" w:eastAsia="es-MX"/>
          <w14:ligatures w14:val="none"/>
        </w:rPr>
      </w:pPr>
      <w:r w:rsidRPr="00F35591">
        <w:rPr>
          <w:rFonts w:ascii="Times New Roman" w:eastAsia="Times New Roman" w:hAnsi="Times New Roman" w:cs="Times New Roman"/>
          <w:kern w:val="0"/>
          <w:lang w:val="es-CO" w:eastAsia="es-MX"/>
          <w14:ligatures w14:val="none"/>
        </w:rPr>
        <w:br/>
      </w:r>
    </w:p>
    <w:p w14:paraId="0ABDBAC6" w14:textId="77777777" w:rsidR="00F35591" w:rsidRPr="00F35591" w:rsidRDefault="00F35591" w:rsidP="00F35591">
      <w:pPr>
        <w:numPr>
          <w:ilvl w:val="0"/>
          <w:numId w:val="6"/>
        </w:numPr>
        <w:jc w:val="both"/>
        <w:textAlignment w:val="baseline"/>
        <w:rPr>
          <w:rFonts w:ascii="Verdana" w:eastAsia="Times New Roman" w:hAnsi="Verdana" w:cs="Times New Roman"/>
          <w:color w:val="000000"/>
          <w:kern w:val="0"/>
          <w:lang w:val="es-CO" w:eastAsia="es-MX"/>
          <w14:ligatures w14:val="none"/>
        </w:rPr>
      </w:pPr>
      <w:r w:rsidRPr="00F35591">
        <w:rPr>
          <w:rFonts w:ascii="Verdana" w:eastAsia="Times New Roman" w:hAnsi="Verdana" w:cs="Times New Roman"/>
          <w:color w:val="000000"/>
          <w:kern w:val="0"/>
          <w:lang w:val="es-CO" w:eastAsia="es-MX"/>
          <w14:ligatures w14:val="none"/>
        </w:rPr>
        <w:t>Por su parte, el numeral 2 del artículo 105 del E.T. señala que, para efectos de deducciones de contribuyentes que estén obligados a llevar contabilidad, los gastos que no cumplan con los requisitos establecidos en el estatuto para su deducción en el impuesto sobre la renta y complementarios, generarán diferencias permanentes. En dicha categoría se incluyen, entre otros:</w:t>
      </w:r>
    </w:p>
    <w:p w14:paraId="2BB2E3D8" w14:textId="77777777" w:rsidR="00F35591" w:rsidRPr="00F35591" w:rsidRDefault="00F35591" w:rsidP="00F35591">
      <w:pPr>
        <w:rPr>
          <w:rFonts w:ascii="Times New Roman" w:eastAsia="Times New Roman" w:hAnsi="Times New Roman" w:cs="Times New Roman"/>
          <w:kern w:val="0"/>
          <w:lang w:val="es-CO" w:eastAsia="es-MX"/>
          <w14:ligatures w14:val="none"/>
        </w:rPr>
      </w:pPr>
    </w:p>
    <w:p w14:paraId="08DBABDD" w14:textId="77777777" w:rsidR="00F35591" w:rsidRPr="00F35591" w:rsidRDefault="00F35591" w:rsidP="00F35591">
      <w:pPr>
        <w:ind w:left="567"/>
        <w:jc w:val="both"/>
        <w:rPr>
          <w:rFonts w:ascii="Times New Roman" w:eastAsia="Times New Roman" w:hAnsi="Times New Roman" w:cs="Times New Roman"/>
          <w:kern w:val="0"/>
          <w:lang w:val="es-CO" w:eastAsia="es-MX"/>
          <w14:ligatures w14:val="none"/>
        </w:rPr>
      </w:pPr>
      <w:r w:rsidRPr="00F35591">
        <w:rPr>
          <w:rFonts w:ascii="Verdana" w:eastAsia="Times New Roman" w:hAnsi="Verdana" w:cs="Times New Roman"/>
          <w:color w:val="000000"/>
          <w:kern w:val="0"/>
          <w:lang w:val="es-CO" w:eastAsia="es-MX"/>
          <w14:ligatures w14:val="none"/>
        </w:rPr>
        <w:t xml:space="preserve">«c) Las multas, sanciones, penalidades, intereses moratorios de carácter sancionatorio y las condenas provenientes de procesos administrativos, judiciales o arbitrales, </w:t>
      </w:r>
      <w:r w:rsidRPr="00F35591">
        <w:rPr>
          <w:rFonts w:ascii="Verdana" w:eastAsia="Times New Roman" w:hAnsi="Verdana" w:cs="Times New Roman"/>
          <w:color w:val="000000"/>
          <w:kern w:val="0"/>
          <w:u w:val="single"/>
          <w:lang w:val="es-CO" w:eastAsia="es-MX"/>
          <w14:ligatures w14:val="none"/>
        </w:rPr>
        <w:t>distintos de los</w:t>
      </w:r>
      <w:r w:rsidRPr="00F35591">
        <w:rPr>
          <w:rFonts w:ascii="Verdana" w:eastAsia="Times New Roman" w:hAnsi="Verdana" w:cs="Times New Roman"/>
          <w:color w:val="000000"/>
          <w:kern w:val="0"/>
          <w:lang w:val="es-CO" w:eastAsia="es-MX"/>
          <w14:ligatures w14:val="none"/>
        </w:rPr>
        <w:t xml:space="preserve"> </w:t>
      </w:r>
      <w:r w:rsidRPr="00F35591">
        <w:rPr>
          <w:rFonts w:ascii="Verdana" w:eastAsia="Times New Roman" w:hAnsi="Verdana" w:cs="Times New Roman"/>
          <w:color w:val="000000"/>
          <w:kern w:val="0"/>
          <w:u w:val="single"/>
          <w:lang w:val="es-CO" w:eastAsia="es-MX"/>
          <w14:ligatures w14:val="none"/>
        </w:rPr>
        <w:t>laborales, conforme con lo previsto en el numeral 3 del artículo 107-1 del presente Estatuto</w:t>
      </w:r>
      <w:r w:rsidRPr="00F35591">
        <w:rPr>
          <w:rFonts w:ascii="Verdana" w:eastAsia="Times New Roman" w:hAnsi="Verdana" w:cs="Times New Roman"/>
          <w:color w:val="000000"/>
          <w:kern w:val="0"/>
          <w:lang w:val="es-CO" w:eastAsia="es-MX"/>
          <w14:ligatures w14:val="none"/>
        </w:rPr>
        <w:t>; [...]»</w:t>
      </w:r>
      <w:r w:rsidRPr="00F35591">
        <w:rPr>
          <w:rFonts w:ascii="Verdana" w:eastAsia="Times New Roman" w:hAnsi="Verdana" w:cs="Times New Roman"/>
          <w:color w:val="000000"/>
          <w:kern w:val="0"/>
          <w:sz w:val="14"/>
          <w:szCs w:val="14"/>
          <w:vertAlign w:val="superscript"/>
          <w:lang w:val="es-CO" w:eastAsia="es-MX"/>
          <w14:ligatures w14:val="none"/>
        </w:rPr>
        <w:t>5</w:t>
      </w:r>
      <w:r w:rsidRPr="00F35591">
        <w:rPr>
          <w:rFonts w:ascii="Verdana" w:eastAsia="Times New Roman" w:hAnsi="Verdana" w:cs="Times New Roman"/>
          <w:color w:val="000000"/>
          <w:kern w:val="0"/>
          <w:lang w:val="es-CO" w:eastAsia="es-MX"/>
          <w14:ligatures w14:val="none"/>
        </w:rPr>
        <w:t>(énfasis propio)</w:t>
      </w:r>
    </w:p>
    <w:p w14:paraId="6E5D0151" w14:textId="77777777" w:rsidR="00F35591" w:rsidRPr="00F35591" w:rsidRDefault="00F35591" w:rsidP="00F35591">
      <w:pPr>
        <w:rPr>
          <w:rFonts w:ascii="Times New Roman" w:eastAsia="Times New Roman" w:hAnsi="Times New Roman" w:cs="Times New Roman"/>
          <w:kern w:val="0"/>
          <w:lang w:val="es-CO" w:eastAsia="es-MX"/>
          <w14:ligatures w14:val="none"/>
        </w:rPr>
      </w:pPr>
      <w:r w:rsidRPr="00F35591">
        <w:rPr>
          <w:rFonts w:ascii="Times New Roman" w:eastAsia="Times New Roman" w:hAnsi="Times New Roman" w:cs="Times New Roman"/>
          <w:kern w:val="0"/>
          <w:lang w:val="es-CO" w:eastAsia="es-MX"/>
          <w14:ligatures w14:val="none"/>
        </w:rPr>
        <w:br/>
      </w:r>
    </w:p>
    <w:p w14:paraId="01087DEF" w14:textId="77777777" w:rsidR="00F35591" w:rsidRPr="00F35591" w:rsidRDefault="00F35591" w:rsidP="00F35591">
      <w:pPr>
        <w:numPr>
          <w:ilvl w:val="0"/>
          <w:numId w:val="7"/>
        </w:numPr>
        <w:jc w:val="both"/>
        <w:textAlignment w:val="baseline"/>
        <w:rPr>
          <w:rFonts w:ascii="Verdana" w:eastAsia="Times New Roman" w:hAnsi="Verdana" w:cs="Times New Roman"/>
          <w:color w:val="000000"/>
          <w:kern w:val="0"/>
          <w:lang w:val="es-CO" w:eastAsia="es-MX"/>
          <w14:ligatures w14:val="none"/>
        </w:rPr>
      </w:pPr>
      <w:r w:rsidRPr="00F35591">
        <w:rPr>
          <w:rFonts w:ascii="Verdana" w:eastAsia="Times New Roman" w:hAnsi="Verdana" w:cs="Times New Roman"/>
          <w:i/>
          <w:iCs/>
          <w:color w:val="000000"/>
          <w:kern w:val="0"/>
          <w:lang w:val="es-CO" w:eastAsia="es-MX"/>
          <w14:ligatures w14:val="none"/>
        </w:rPr>
        <w:t xml:space="preserve">Contrario sensu </w:t>
      </w:r>
      <w:r w:rsidRPr="00F35591">
        <w:rPr>
          <w:rFonts w:ascii="Verdana" w:eastAsia="Times New Roman" w:hAnsi="Verdana" w:cs="Times New Roman"/>
          <w:color w:val="000000"/>
          <w:kern w:val="0"/>
          <w:lang w:val="es-CO" w:eastAsia="es-MX"/>
          <w14:ligatures w14:val="none"/>
        </w:rPr>
        <w:t xml:space="preserve">los pagos derivados de procesos judiciales laborales no están excluidos </w:t>
      </w:r>
      <w:r w:rsidRPr="00F35591">
        <w:rPr>
          <w:rFonts w:ascii="Verdana" w:eastAsia="Times New Roman" w:hAnsi="Verdana" w:cs="Times New Roman"/>
          <w:i/>
          <w:iCs/>
          <w:color w:val="000000"/>
          <w:kern w:val="0"/>
          <w:lang w:val="es-CO" w:eastAsia="es-MX"/>
          <w14:ligatures w14:val="none"/>
        </w:rPr>
        <w:t xml:space="preserve">per se </w:t>
      </w:r>
      <w:proofErr w:type="spellStart"/>
      <w:r w:rsidRPr="00F35591">
        <w:rPr>
          <w:rFonts w:ascii="Verdana" w:eastAsia="Times New Roman" w:hAnsi="Verdana" w:cs="Times New Roman"/>
          <w:color w:val="000000"/>
          <w:kern w:val="0"/>
          <w:lang w:val="es-CO" w:eastAsia="es-MX"/>
          <w14:ligatures w14:val="none"/>
        </w:rPr>
        <w:t>de</w:t>
      </w:r>
      <w:proofErr w:type="spellEnd"/>
      <w:r w:rsidRPr="00F35591">
        <w:rPr>
          <w:rFonts w:ascii="Verdana" w:eastAsia="Times New Roman" w:hAnsi="Verdana" w:cs="Times New Roman"/>
          <w:color w:val="000000"/>
          <w:kern w:val="0"/>
          <w:lang w:val="es-CO" w:eastAsia="es-MX"/>
          <w14:ligatures w14:val="none"/>
        </w:rPr>
        <w:t xml:space="preserve"> la deducción. De hecho, el numeral 2 del artículo 107-1 del E.T. prevé expresamente:</w:t>
      </w:r>
    </w:p>
    <w:p w14:paraId="3DD3F6E4" w14:textId="77777777" w:rsidR="00F35591" w:rsidRPr="00F35591" w:rsidRDefault="00F35591" w:rsidP="00F35591">
      <w:pPr>
        <w:rPr>
          <w:rFonts w:ascii="Times New Roman" w:eastAsia="Times New Roman" w:hAnsi="Times New Roman" w:cs="Times New Roman"/>
          <w:kern w:val="0"/>
          <w:lang w:val="es-CO" w:eastAsia="es-MX"/>
          <w14:ligatures w14:val="none"/>
        </w:rPr>
      </w:pPr>
    </w:p>
    <w:p w14:paraId="07B36419" w14:textId="77777777" w:rsidR="00F35591" w:rsidRPr="00F35591" w:rsidRDefault="00F35591" w:rsidP="00F35591">
      <w:pPr>
        <w:ind w:left="567"/>
        <w:jc w:val="both"/>
        <w:rPr>
          <w:rFonts w:ascii="Times New Roman" w:eastAsia="Times New Roman" w:hAnsi="Times New Roman" w:cs="Times New Roman"/>
          <w:kern w:val="0"/>
          <w:lang w:val="es-CO" w:eastAsia="es-MX"/>
          <w14:ligatures w14:val="none"/>
        </w:rPr>
      </w:pPr>
      <w:r w:rsidRPr="00F35591">
        <w:rPr>
          <w:rFonts w:ascii="Verdana" w:eastAsia="Times New Roman" w:hAnsi="Verdana" w:cs="Times New Roman"/>
          <w:color w:val="000000"/>
          <w:kern w:val="0"/>
          <w:lang w:val="es-CO" w:eastAsia="es-MX"/>
          <w14:ligatures w14:val="none"/>
        </w:rPr>
        <w:t xml:space="preserve">«Artículo 107-1. Las siguientes deducciones serán aceptadas fiscalmente </w:t>
      </w:r>
      <w:r w:rsidRPr="00F35591">
        <w:rPr>
          <w:rFonts w:ascii="Verdana" w:eastAsia="Times New Roman" w:hAnsi="Verdana" w:cs="Times New Roman"/>
          <w:color w:val="000000"/>
          <w:kern w:val="0"/>
          <w:u w:val="single"/>
          <w:lang w:val="es-CO" w:eastAsia="es-MX"/>
          <w14:ligatures w14:val="none"/>
        </w:rPr>
        <w:t>siempre y cuando</w:t>
      </w:r>
      <w:r w:rsidRPr="00F35591">
        <w:rPr>
          <w:rFonts w:ascii="Verdana" w:eastAsia="Times New Roman" w:hAnsi="Verdana" w:cs="Times New Roman"/>
          <w:color w:val="000000"/>
          <w:kern w:val="0"/>
          <w:lang w:val="es-CO" w:eastAsia="es-MX"/>
          <w14:ligatures w14:val="none"/>
        </w:rPr>
        <w:t xml:space="preserve"> </w:t>
      </w:r>
      <w:r w:rsidRPr="00F35591">
        <w:rPr>
          <w:rFonts w:ascii="Verdana" w:eastAsia="Times New Roman" w:hAnsi="Verdana" w:cs="Times New Roman"/>
          <w:color w:val="000000"/>
          <w:kern w:val="0"/>
          <w:u w:val="single"/>
          <w:lang w:val="es-CO" w:eastAsia="es-MX"/>
          <w14:ligatures w14:val="none"/>
        </w:rPr>
        <w:t>se encuentren debidamente soportadas</w:t>
      </w:r>
      <w:r w:rsidRPr="00F35591">
        <w:rPr>
          <w:rFonts w:ascii="Verdana" w:eastAsia="Times New Roman" w:hAnsi="Verdana" w:cs="Times New Roman"/>
          <w:color w:val="000000"/>
          <w:kern w:val="0"/>
          <w:lang w:val="es-CO" w:eastAsia="es-MX"/>
          <w14:ligatures w14:val="none"/>
        </w:rPr>
        <w:t>, hagan parte del giro ordinario del negocio, y con las siguientes limitaciones: […]</w:t>
      </w:r>
    </w:p>
    <w:p w14:paraId="0813B4CE" w14:textId="77777777" w:rsidR="00F35591" w:rsidRPr="00F35591" w:rsidRDefault="00F35591" w:rsidP="00F35591">
      <w:pPr>
        <w:rPr>
          <w:rFonts w:ascii="Times New Roman" w:eastAsia="Times New Roman" w:hAnsi="Times New Roman" w:cs="Times New Roman"/>
          <w:kern w:val="0"/>
          <w:lang w:val="es-CO" w:eastAsia="es-MX"/>
          <w14:ligatures w14:val="none"/>
        </w:rPr>
      </w:pPr>
    </w:p>
    <w:p w14:paraId="770BEC45" w14:textId="77777777" w:rsidR="00F35591" w:rsidRPr="00F35591" w:rsidRDefault="00F35591" w:rsidP="00F35591">
      <w:pPr>
        <w:ind w:left="567"/>
        <w:jc w:val="both"/>
        <w:rPr>
          <w:rFonts w:ascii="Times New Roman" w:eastAsia="Times New Roman" w:hAnsi="Times New Roman" w:cs="Times New Roman"/>
          <w:kern w:val="0"/>
          <w:lang w:val="es-CO" w:eastAsia="es-MX"/>
          <w14:ligatures w14:val="none"/>
        </w:rPr>
      </w:pPr>
      <w:r w:rsidRPr="00F35591">
        <w:rPr>
          <w:rFonts w:ascii="Verdana" w:eastAsia="Times New Roman" w:hAnsi="Verdana" w:cs="Times New Roman"/>
          <w:color w:val="000000"/>
          <w:kern w:val="0"/>
          <w:lang w:val="es-CO" w:eastAsia="es-MX"/>
          <w14:ligatures w14:val="none"/>
        </w:rPr>
        <w:t xml:space="preserve">2. </w:t>
      </w:r>
      <w:r w:rsidRPr="00F35591">
        <w:rPr>
          <w:rFonts w:ascii="Verdana" w:eastAsia="Times New Roman" w:hAnsi="Verdana" w:cs="Times New Roman"/>
          <w:color w:val="000000"/>
          <w:kern w:val="0"/>
          <w:u w:val="single"/>
          <w:lang w:val="es-CO" w:eastAsia="es-MX"/>
          <w14:ligatures w14:val="none"/>
        </w:rPr>
        <w:t>Los pagos salariales y prestacionales</w:t>
      </w:r>
      <w:r w:rsidRPr="00F35591">
        <w:rPr>
          <w:rFonts w:ascii="Verdana" w:eastAsia="Times New Roman" w:hAnsi="Verdana" w:cs="Times New Roman"/>
          <w:color w:val="000000"/>
          <w:kern w:val="0"/>
          <w:lang w:val="es-CO" w:eastAsia="es-MX"/>
          <w14:ligatures w14:val="none"/>
        </w:rPr>
        <w:t xml:space="preserve">, </w:t>
      </w:r>
      <w:r w:rsidRPr="00F35591">
        <w:rPr>
          <w:rFonts w:ascii="Verdana" w:eastAsia="Times New Roman" w:hAnsi="Verdana" w:cs="Times New Roman"/>
          <w:color w:val="000000"/>
          <w:kern w:val="0"/>
          <w:u w:val="single"/>
          <w:lang w:val="es-CO" w:eastAsia="es-MX"/>
          <w14:ligatures w14:val="none"/>
        </w:rPr>
        <w:t>cuando provengan de litigios laborales</w:t>
      </w:r>
      <w:r w:rsidRPr="00F35591">
        <w:rPr>
          <w:rFonts w:ascii="Verdana" w:eastAsia="Times New Roman" w:hAnsi="Verdana" w:cs="Times New Roman"/>
          <w:color w:val="000000"/>
          <w:kern w:val="0"/>
          <w:lang w:val="es-CO" w:eastAsia="es-MX"/>
          <w14:ligatures w14:val="none"/>
        </w:rPr>
        <w:t>, serán deducibles en el momento del pago siempre y cuando se acredite el cumplimiento de la totalidad de los requisitos para la deducción de salarios.» (énfasis propio)</w:t>
      </w:r>
    </w:p>
    <w:p w14:paraId="1F73FE11" w14:textId="77777777" w:rsidR="00F35591" w:rsidRPr="00F35591" w:rsidRDefault="00F35591" w:rsidP="00F35591">
      <w:pPr>
        <w:rPr>
          <w:rFonts w:ascii="Times New Roman" w:eastAsia="Times New Roman" w:hAnsi="Times New Roman" w:cs="Times New Roman"/>
          <w:kern w:val="0"/>
          <w:lang w:val="es-CO" w:eastAsia="es-MX"/>
          <w14:ligatures w14:val="none"/>
        </w:rPr>
      </w:pPr>
      <w:r w:rsidRPr="00F35591">
        <w:rPr>
          <w:rFonts w:ascii="Times New Roman" w:eastAsia="Times New Roman" w:hAnsi="Times New Roman" w:cs="Times New Roman"/>
          <w:kern w:val="0"/>
          <w:lang w:val="es-CO" w:eastAsia="es-MX"/>
          <w14:ligatures w14:val="none"/>
        </w:rPr>
        <w:br/>
      </w:r>
    </w:p>
    <w:p w14:paraId="3FE69456" w14:textId="77777777" w:rsidR="00F35591" w:rsidRPr="00F35591" w:rsidRDefault="00F35591" w:rsidP="00F35591">
      <w:pPr>
        <w:numPr>
          <w:ilvl w:val="0"/>
          <w:numId w:val="8"/>
        </w:numPr>
        <w:jc w:val="both"/>
        <w:textAlignment w:val="baseline"/>
        <w:rPr>
          <w:rFonts w:ascii="Verdana" w:eastAsia="Times New Roman" w:hAnsi="Verdana" w:cs="Times New Roman"/>
          <w:color w:val="000000"/>
          <w:kern w:val="0"/>
          <w:lang w:val="es-CO" w:eastAsia="es-MX"/>
          <w14:ligatures w14:val="none"/>
        </w:rPr>
      </w:pPr>
      <w:r w:rsidRPr="00F35591">
        <w:rPr>
          <w:rFonts w:ascii="Verdana" w:eastAsia="Times New Roman" w:hAnsi="Verdana" w:cs="Times New Roman"/>
          <w:color w:val="000000"/>
          <w:kern w:val="0"/>
          <w:lang w:val="es-CO" w:eastAsia="es-MX"/>
          <w14:ligatures w14:val="none"/>
        </w:rPr>
        <w:t>Obsérvese que la expresión empleada por el legislador en el precepto citado «pagos salariales y prestacionales, cuando provengan de litigios laborales», evidencia que tales pagos conservan su naturaleza laboral en tanto tienen como fuente la relación de trabajo, independientemente de que esta se encuentre vigente al momento del pago</w:t>
      </w:r>
      <w:r w:rsidRPr="00F35591">
        <w:rPr>
          <w:rFonts w:ascii="Verdana" w:eastAsia="Times New Roman" w:hAnsi="Verdana" w:cs="Times New Roman"/>
          <w:color w:val="000000"/>
          <w:kern w:val="0"/>
          <w:sz w:val="14"/>
          <w:szCs w:val="14"/>
          <w:vertAlign w:val="superscript"/>
          <w:lang w:val="es-CO" w:eastAsia="es-MX"/>
          <w14:ligatures w14:val="none"/>
        </w:rPr>
        <w:t>6</w:t>
      </w:r>
      <w:r w:rsidRPr="00F35591">
        <w:rPr>
          <w:rFonts w:ascii="Verdana" w:eastAsia="Times New Roman" w:hAnsi="Verdana" w:cs="Times New Roman"/>
          <w:color w:val="000000"/>
          <w:kern w:val="0"/>
          <w:lang w:val="es-CO" w:eastAsia="es-MX"/>
          <w14:ligatures w14:val="none"/>
        </w:rPr>
        <w:t>. En consecuencia, su tratamiento fiscal debe ser equivalente al de los salarios ordinarios, en lo relativo al cumplimiento de requisitos para su deducción.</w:t>
      </w:r>
    </w:p>
    <w:p w14:paraId="0BD58FFF" w14:textId="77777777" w:rsidR="00F35591" w:rsidRPr="00F35591" w:rsidRDefault="00F35591" w:rsidP="00F35591">
      <w:pPr>
        <w:rPr>
          <w:rFonts w:ascii="Times New Roman" w:eastAsia="Times New Roman" w:hAnsi="Times New Roman" w:cs="Times New Roman"/>
          <w:kern w:val="0"/>
          <w:lang w:val="es-CO" w:eastAsia="es-MX"/>
          <w14:ligatures w14:val="none"/>
        </w:rPr>
      </w:pPr>
      <w:r w:rsidRPr="00F35591">
        <w:rPr>
          <w:rFonts w:ascii="Times New Roman" w:eastAsia="Times New Roman" w:hAnsi="Times New Roman" w:cs="Times New Roman"/>
          <w:kern w:val="0"/>
          <w:lang w:val="es-CO" w:eastAsia="es-MX"/>
          <w14:ligatures w14:val="none"/>
        </w:rPr>
        <w:lastRenderedPageBreak/>
        <w:br/>
      </w:r>
    </w:p>
    <w:p w14:paraId="1B01DA91" w14:textId="77777777" w:rsidR="00F35591" w:rsidRPr="00F35591" w:rsidRDefault="00F35591" w:rsidP="00F35591">
      <w:pPr>
        <w:numPr>
          <w:ilvl w:val="0"/>
          <w:numId w:val="9"/>
        </w:numPr>
        <w:jc w:val="both"/>
        <w:textAlignment w:val="baseline"/>
        <w:rPr>
          <w:rFonts w:ascii="Verdana" w:eastAsia="Times New Roman" w:hAnsi="Verdana" w:cs="Times New Roman"/>
          <w:color w:val="000000"/>
          <w:kern w:val="0"/>
          <w:lang w:val="es-CO" w:eastAsia="es-MX"/>
          <w14:ligatures w14:val="none"/>
        </w:rPr>
      </w:pPr>
      <w:r w:rsidRPr="00F35591">
        <w:rPr>
          <w:rFonts w:ascii="Verdana" w:eastAsia="Times New Roman" w:hAnsi="Verdana" w:cs="Times New Roman"/>
          <w:color w:val="000000"/>
          <w:kern w:val="0"/>
          <w:lang w:val="es-CO" w:eastAsia="es-MX"/>
          <w14:ligatures w14:val="none"/>
        </w:rPr>
        <w:t>En conclusión, de acuerdo con la doctrina vigente, para efectos fiscales, los pagos laborales y prestacionales efectuados por el empleador como resultado de decisiones judiciales derivadas de litigios laborales deben ser soportados mediante el DSNE</w:t>
      </w:r>
      <w:r w:rsidRPr="00F35591">
        <w:rPr>
          <w:rFonts w:ascii="Verdana" w:eastAsia="Times New Roman" w:hAnsi="Verdana" w:cs="Times New Roman"/>
          <w:color w:val="000000"/>
          <w:kern w:val="0"/>
          <w:sz w:val="14"/>
          <w:szCs w:val="14"/>
          <w:vertAlign w:val="superscript"/>
          <w:lang w:val="es-CO" w:eastAsia="es-MX"/>
          <w14:ligatures w14:val="none"/>
        </w:rPr>
        <w:t>7</w:t>
      </w:r>
      <w:r w:rsidRPr="00F35591">
        <w:rPr>
          <w:rFonts w:ascii="Verdana" w:eastAsia="Times New Roman" w:hAnsi="Verdana" w:cs="Times New Roman"/>
          <w:color w:val="000000"/>
          <w:kern w:val="0"/>
          <w:lang w:val="es-CO" w:eastAsia="es-MX"/>
          <w14:ligatures w14:val="none"/>
        </w:rPr>
        <w:t>.</w:t>
      </w:r>
    </w:p>
    <w:p w14:paraId="312AB79B" w14:textId="77777777" w:rsidR="00F35591" w:rsidRPr="00F35591" w:rsidRDefault="00F35591" w:rsidP="00F35591">
      <w:pPr>
        <w:rPr>
          <w:rFonts w:ascii="Times New Roman" w:eastAsia="Times New Roman" w:hAnsi="Times New Roman" w:cs="Times New Roman"/>
          <w:kern w:val="0"/>
          <w:lang w:val="es-CO" w:eastAsia="es-MX"/>
          <w14:ligatures w14:val="none"/>
        </w:rPr>
      </w:pPr>
    </w:p>
    <w:p w14:paraId="4ED2815C" w14:textId="77777777" w:rsidR="00F35591" w:rsidRPr="00F35591" w:rsidRDefault="00F35591" w:rsidP="00F35591">
      <w:pPr>
        <w:jc w:val="both"/>
        <w:rPr>
          <w:rFonts w:ascii="Times New Roman" w:eastAsia="Times New Roman" w:hAnsi="Times New Roman" w:cs="Times New Roman"/>
          <w:kern w:val="0"/>
          <w:lang w:val="es-CO" w:eastAsia="es-MX"/>
          <w14:ligatures w14:val="none"/>
        </w:rPr>
      </w:pPr>
      <w:r w:rsidRPr="00F35591">
        <w:rPr>
          <w:rFonts w:ascii="Verdana" w:eastAsia="Times New Roman" w:hAnsi="Verdana" w:cs="Times New Roman"/>
          <w:color w:val="000000"/>
          <w:kern w:val="0"/>
          <w:lang w:val="es-CO" w:eastAsia="es-MX"/>
          <w14:ligatures w14:val="none"/>
        </w:rPr>
        <w:t xml:space="preserve">En los anteriores términos se absuelve su petición y se recuerda que la normativa, jurisprudencia y doctrina en materia tributaria, aduanera y de fiscalización cambiaria, en lo de competencia de esta Entidad, puede consultarse en el normograma DIAN: </w:t>
      </w:r>
      <w:hyperlink r:id="rId5" w:history="1">
        <w:r w:rsidRPr="00F35591">
          <w:rPr>
            <w:rFonts w:ascii="Verdana" w:eastAsia="Times New Roman" w:hAnsi="Verdana" w:cs="Times New Roman"/>
            <w:color w:val="000000"/>
            <w:kern w:val="0"/>
            <w:u w:val="single"/>
            <w:lang w:val="es-CO" w:eastAsia="es-MX"/>
            <w14:ligatures w14:val="none"/>
          </w:rPr>
          <w:t>https://normograma.dian.gov.co/dian/</w:t>
        </w:r>
      </w:hyperlink>
      <w:r w:rsidRPr="00F35591">
        <w:rPr>
          <w:rFonts w:ascii="Verdana" w:eastAsia="Times New Roman" w:hAnsi="Verdana" w:cs="Times New Roman"/>
          <w:color w:val="000000"/>
          <w:kern w:val="0"/>
          <w:lang w:val="es-CO" w:eastAsia="es-MX"/>
          <w14:ligatures w14:val="none"/>
        </w:rPr>
        <w:t>.</w:t>
      </w:r>
    </w:p>
    <w:p w14:paraId="7CB98E45" w14:textId="77777777" w:rsidR="00F35591" w:rsidRPr="00F35591" w:rsidRDefault="00F35591" w:rsidP="00F35591">
      <w:pPr>
        <w:rPr>
          <w:rFonts w:ascii="Times New Roman" w:eastAsia="Times New Roman" w:hAnsi="Times New Roman" w:cs="Times New Roman"/>
          <w:kern w:val="0"/>
          <w:lang w:val="es-CO" w:eastAsia="es-MX"/>
          <w14:ligatures w14:val="none"/>
        </w:rPr>
      </w:pPr>
    </w:p>
    <w:p w14:paraId="7593E3D3" w14:textId="77777777" w:rsidR="00F35591" w:rsidRPr="00F35591" w:rsidRDefault="00F35591" w:rsidP="00F35591">
      <w:pPr>
        <w:jc w:val="both"/>
        <w:rPr>
          <w:rFonts w:ascii="Times New Roman" w:eastAsia="Times New Roman" w:hAnsi="Times New Roman" w:cs="Times New Roman"/>
          <w:kern w:val="0"/>
          <w:lang w:val="es-CO" w:eastAsia="es-MX"/>
          <w14:ligatures w14:val="none"/>
        </w:rPr>
      </w:pPr>
      <w:r w:rsidRPr="00F35591">
        <w:rPr>
          <w:rFonts w:ascii="Verdana" w:eastAsia="Times New Roman" w:hAnsi="Verdana" w:cs="Times New Roman"/>
          <w:color w:val="000000"/>
          <w:kern w:val="0"/>
          <w:lang w:val="es-CO" w:eastAsia="es-MX"/>
          <w14:ligatures w14:val="none"/>
        </w:rPr>
        <w:t>Atentamente,</w:t>
      </w:r>
    </w:p>
    <w:p w14:paraId="4598121C" w14:textId="77777777" w:rsidR="00F35591" w:rsidRPr="00F35591" w:rsidRDefault="00F35591" w:rsidP="00F35591">
      <w:pPr>
        <w:rPr>
          <w:rFonts w:ascii="Times New Roman" w:eastAsia="Times New Roman" w:hAnsi="Times New Roman" w:cs="Times New Roman"/>
          <w:kern w:val="0"/>
          <w:lang w:val="es-CO" w:eastAsia="es-MX"/>
          <w14:ligatures w14:val="none"/>
        </w:rPr>
      </w:pPr>
    </w:p>
    <w:p w14:paraId="75FB8AC5" w14:textId="77777777" w:rsidR="00F35591" w:rsidRPr="00F35591" w:rsidRDefault="00F35591" w:rsidP="00F35591">
      <w:pPr>
        <w:jc w:val="both"/>
        <w:rPr>
          <w:rFonts w:ascii="Times New Roman" w:eastAsia="Times New Roman" w:hAnsi="Times New Roman" w:cs="Times New Roman"/>
          <w:kern w:val="0"/>
          <w:lang w:val="es-CO" w:eastAsia="es-MX"/>
          <w14:ligatures w14:val="none"/>
        </w:rPr>
      </w:pPr>
      <w:r w:rsidRPr="00F35591">
        <w:rPr>
          <w:rFonts w:ascii="Verdana" w:eastAsia="Times New Roman" w:hAnsi="Verdana" w:cs="Times New Roman"/>
          <w:b/>
          <w:bCs/>
          <w:color w:val="000000"/>
          <w:kern w:val="0"/>
          <w:lang w:val="es-CO" w:eastAsia="es-MX"/>
          <w14:ligatures w14:val="none"/>
        </w:rPr>
        <w:t>INGRID CASTAÑEDA CEPEDA</w:t>
      </w:r>
    </w:p>
    <w:p w14:paraId="4E079629" w14:textId="77777777" w:rsidR="00F35591" w:rsidRPr="00F35591" w:rsidRDefault="00F35591" w:rsidP="00F35591">
      <w:pPr>
        <w:jc w:val="both"/>
        <w:rPr>
          <w:rFonts w:ascii="Times New Roman" w:eastAsia="Times New Roman" w:hAnsi="Times New Roman" w:cs="Times New Roman"/>
          <w:kern w:val="0"/>
          <w:lang w:val="es-CO" w:eastAsia="es-MX"/>
          <w14:ligatures w14:val="none"/>
        </w:rPr>
      </w:pPr>
      <w:r w:rsidRPr="00F35591">
        <w:rPr>
          <w:rFonts w:ascii="Verdana" w:eastAsia="Times New Roman" w:hAnsi="Verdana" w:cs="Times New Roman"/>
          <w:color w:val="000000"/>
          <w:kern w:val="0"/>
          <w:lang w:val="es-CO" w:eastAsia="es-MX"/>
          <w14:ligatures w14:val="none"/>
        </w:rPr>
        <w:t>Subdirectora de Normativa y Doctrina (A) </w:t>
      </w:r>
    </w:p>
    <w:p w14:paraId="141880A2" w14:textId="77777777" w:rsidR="00F35591" w:rsidRPr="00F35591" w:rsidRDefault="00F35591" w:rsidP="00F35591">
      <w:pPr>
        <w:jc w:val="both"/>
        <w:rPr>
          <w:rFonts w:ascii="Times New Roman" w:eastAsia="Times New Roman" w:hAnsi="Times New Roman" w:cs="Times New Roman"/>
          <w:kern w:val="0"/>
          <w:lang w:val="es-CO" w:eastAsia="es-MX"/>
          <w14:ligatures w14:val="none"/>
        </w:rPr>
      </w:pPr>
      <w:r w:rsidRPr="00F35591">
        <w:rPr>
          <w:rFonts w:ascii="Verdana" w:eastAsia="Times New Roman" w:hAnsi="Verdana" w:cs="Times New Roman"/>
          <w:color w:val="000000"/>
          <w:kern w:val="0"/>
          <w:lang w:val="es-CO" w:eastAsia="es-MX"/>
          <w14:ligatures w14:val="none"/>
        </w:rPr>
        <w:t>Dirección de Gestión Jurídica</w:t>
      </w:r>
    </w:p>
    <w:p w14:paraId="0B0B833F" w14:textId="77777777" w:rsidR="00F35591" w:rsidRPr="00F35591" w:rsidRDefault="00F35591" w:rsidP="00F35591">
      <w:pPr>
        <w:jc w:val="both"/>
        <w:rPr>
          <w:rFonts w:ascii="Times New Roman" w:eastAsia="Times New Roman" w:hAnsi="Times New Roman" w:cs="Times New Roman"/>
          <w:kern w:val="0"/>
          <w:lang w:val="es-CO" w:eastAsia="es-MX"/>
          <w14:ligatures w14:val="none"/>
        </w:rPr>
      </w:pPr>
      <w:r w:rsidRPr="00F35591">
        <w:rPr>
          <w:rFonts w:ascii="Verdana" w:eastAsia="Times New Roman" w:hAnsi="Verdana" w:cs="Times New Roman"/>
          <w:color w:val="000000"/>
          <w:kern w:val="0"/>
          <w:lang w:val="es-CO" w:eastAsia="es-MX"/>
          <w14:ligatures w14:val="none"/>
        </w:rPr>
        <w:t>U.A.E. Dirección de Impuestos y Aduanas Nacionales – DIAN </w:t>
      </w:r>
    </w:p>
    <w:p w14:paraId="53B6CACC" w14:textId="77777777" w:rsidR="00F35591" w:rsidRPr="00F35591" w:rsidRDefault="00F35591" w:rsidP="00F35591">
      <w:pPr>
        <w:jc w:val="both"/>
        <w:rPr>
          <w:rFonts w:ascii="Times New Roman" w:eastAsia="Times New Roman" w:hAnsi="Times New Roman" w:cs="Times New Roman"/>
          <w:kern w:val="0"/>
          <w:lang w:val="es-CO" w:eastAsia="es-MX"/>
          <w14:ligatures w14:val="none"/>
        </w:rPr>
      </w:pPr>
      <w:r w:rsidRPr="00F35591">
        <w:rPr>
          <w:rFonts w:ascii="Verdana" w:eastAsia="Times New Roman" w:hAnsi="Verdana" w:cs="Times New Roman"/>
          <w:color w:val="000000"/>
          <w:kern w:val="0"/>
          <w:lang w:val="es-CO" w:eastAsia="es-MX"/>
          <w14:ligatures w14:val="none"/>
        </w:rPr>
        <w:t xml:space="preserve">Dirección: </w:t>
      </w:r>
      <w:proofErr w:type="spellStart"/>
      <w:r w:rsidRPr="00F35591">
        <w:rPr>
          <w:rFonts w:ascii="Verdana" w:eastAsia="Times New Roman" w:hAnsi="Verdana" w:cs="Times New Roman"/>
          <w:color w:val="000000"/>
          <w:kern w:val="0"/>
          <w:lang w:val="es-CO" w:eastAsia="es-MX"/>
          <w14:ligatures w14:val="none"/>
        </w:rPr>
        <w:t>Cra</w:t>
      </w:r>
      <w:proofErr w:type="spellEnd"/>
      <w:r w:rsidRPr="00F35591">
        <w:rPr>
          <w:rFonts w:ascii="Verdana" w:eastAsia="Times New Roman" w:hAnsi="Verdana" w:cs="Times New Roman"/>
          <w:color w:val="000000"/>
          <w:kern w:val="0"/>
          <w:lang w:val="es-CO" w:eastAsia="es-MX"/>
          <w14:ligatures w14:val="none"/>
        </w:rPr>
        <w:t>. 8 # 6C-38 Edificio San Agustín - Piso 4 </w:t>
      </w:r>
    </w:p>
    <w:p w14:paraId="268ED5D1" w14:textId="77777777" w:rsidR="00F35591" w:rsidRPr="00F35591" w:rsidRDefault="00F35591" w:rsidP="00F35591">
      <w:pPr>
        <w:jc w:val="both"/>
        <w:rPr>
          <w:rFonts w:ascii="Times New Roman" w:eastAsia="Times New Roman" w:hAnsi="Times New Roman" w:cs="Times New Roman"/>
          <w:kern w:val="0"/>
          <w:lang w:val="es-CO" w:eastAsia="es-MX"/>
          <w14:ligatures w14:val="none"/>
        </w:rPr>
      </w:pPr>
      <w:r w:rsidRPr="00F35591">
        <w:rPr>
          <w:rFonts w:ascii="Verdana" w:eastAsia="Times New Roman" w:hAnsi="Verdana" w:cs="Times New Roman"/>
          <w:color w:val="000000"/>
          <w:kern w:val="0"/>
          <w:lang w:val="es-CO" w:eastAsia="es-MX"/>
          <w14:ligatures w14:val="none"/>
        </w:rPr>
        <w:t>Bogotá, D.C.</w:t>
      </w:r>
    </w:p>
    <w:p w14:paraId="50AD875F" w14:textId="77777777" w:rsidR="00F35591" w:rsidRPr="00F35591" w:rsidRDefault="00F35591" w:rsidP="00F35591">
      <w:pPr>
        <w:jc w:val="both"/>
        <w:rPr>
          <w:rFonts w:ascii="Times New Roman" w:eastAsia="Times New Roman" w:hAnsi="Times New Roman" w:cs="Times New Roman"/>
          <w:kern w:val="0"/>
          <w:lang w:val="es-CO" w:eastAsia="es-MX"/>
          <w14:ligatures w14:val="none"/>
        </w:rPr>
      </w:pPr>
      <w:hyperlink r:id="rId6" w:history="1">
        <w:r w:rsidRPr="00F35591">
          <w:rPr>
            <w:rFonts w:ascii="Verdana" w:eastAsia="Times New Roman" w:hAnsi="Verdana" w:cs="Times New Roman"/>
            <w:color w:val="000000"/>
            <w:kern w:val="0"/>
            <w:u w:val="single"/>
            <w:lang w:val="es-CO" w:eastAsia="es-MX"/>
            <w14:ligatures w14:val="none"/>
          </w:rPr>
          <w:t>www.dian.gov.co</w:t>
        </w:r>
      </w:hyperlink>
    </w:p>
    <w:p w14:paraId="2C2F1630" w14:textId="77777777" w:rsidR="00F35591" w:rsidRPr="00F35591" w:rsidRDefault="00F35591" w:rsidP="00F35591">
      <w:pPr>
        <w:rPr>
          <w:rFonts w:ascii="Times New Roman" w:eastAsia="Times New Roman" w:hAnsi="Times New Roman" w:cs="Times New Roman"/>
          <w:kern w:val="0"/>
          <w:lang w:val="es-CO" w:eastAsia="es-MX"/>
          <w14:ligatures w14:val="none"/>
        </w:rPr>
      </w:pPr>
    </w:p>
    <w:p w14:paraId="50E685BE"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8B1C0F"/>
    <w:multiLevelType w:val="multilevel"/>
    <w:tmpl w:val="6548F3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1216B58"/>
    <w:multiLevelType w:val="multilevel"/>
    <w:tmpl w:val="B86A55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94773CF"/>
    <w:multiLevelType w:val="multilevel"/>
    <w:tmpl w:val="2CDC59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C0942A3"/>
    <w:multiLevelType w:val="multilevel"/>
    <w:tmpl w:val="327C3AD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4A04869"/>
    <w:multiLevelType w:val="multilevel"/>
    <w:tmpl w:val="303A6A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7C72F7C"/>
    <w:multiLevelType w:val="multilevel"/>
    <w:tmpl w:val="CEEE038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B396DE9"/>
    <w:multiLevelType w:val="multilevel"/>
    <w:tmpl w:val="92F89C1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D67055E"/>
    <w:multiLevelType w:val="multilevel"/>
    <w:tmpl w:val="4390442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8D54BD3"/>
    <w:multiLevelType w:val="multilevel"/>
    <w:tmpl w:val="4D40005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82103271">
    <w:abstractNumId w:val="0"/>
  </w:num>
  <w:num w:numId="2" w16cid:durableId="248347394">
    <w:abstractNumId w:val="6"/>
    <w:lvlOverride w:ilvl="0">
      <w:lvl w:ilvl="0">
        <w:numFmt w:val="decimal"/>
        <w:lvlText w:val="%1."/>
        <w:lvlJc w:val="left"/>
      </w:lvl>
    </w:lvlOverride>
  </w:num>
  <w:num w:numId="3" w16cid:durableId="199903124">
    <w:abstractNumId w:val="4"/>
    <w:lvlOverride w:ilvl="0">
      <w:lvl w:ilvl="0">
        <w:numFmt w:val="decimal"/>
        <w:lvlText w:val="%1."/>
        <w:lvlJc w:val="left"/>
      </w:lvl>
    </w:lvlOverride>
  </w:num>
  <w:num w:numId="4" w16cid:durableId="1809932223">
    <w:abstractNumId w:val="8"/>
    <w:lvlOverride w:ilvl="0">
      <w:lvl w:ilvl="0">
        <w:numFmt w:val="decimal"/>
        <w:lvlText w:val="%1."/>
        <w:lvlJc w:val="left"/>
      </w:lvl>
    </w:lvlOverride>
  </w:num>
  <w:num w:numId="5" w16cid:durableId="1214384934">
    <w:abstractNumId w:val="1"/>
    <w:lvlOverride w:ilvl="0">
      <w:lvl w:ilvl="0">
        <w:numFmt w:val="decimal"/>
        <w:lvlText w:val="%1."/>
        <w:lvlJc w:val="left"/>
      </w:lvl>
    </w:lvlOverride>
  </w:num>
  <w:num w:numId="6" w16cid:durableId="289821141">
    <w:abstractNumId w:val="3"/>
    <w:lvlOverride w:ilvl="0">
      <w:lvl w:ilvl="0">
        <w:numFmt w:val="decimal"/>
        <w:lvlText w:val="%1."/>
        <w:lvlJc w:val="left"/>
      </w:lvl>
    </w:lvlOverride>
  </w:num>
  <w:num w:numId="7" w16cid:durableId="1217205110">
    <w:abstractNumId w:val="5"/>
    <w:lvlOverride w:ilvl="0">
      <w:lvl w:ilvl="0">
        <w:numFmt w:val="decimal"/>
        <w:lvlText w:val="%1."/>
        <w:lvlJc w:val="left"/>
      </w:lvl>
    </w:lvlOverride>
  </w:num>
  <w:num w:numId="8" w16cid:durableId="490147316">
    <w:abstractNumId w:val="7"/>
    <w:lvlOverride w:ilvl="0">
      <w:lvl w:ilvl="0">
        <w:numFmt w:val="decimal"/>
        <w:lvlText w:val="%1."/>
        <w:lvlJc w:val="left"/>
      </w:lvl>
    </w:lvlOverride>
  </w:num>
  <w:num w:numId="9" w16cid:durableId="1096515122">
    <w:abstractNumId w:val="2"/>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5591"/>
    <w:rsid w:val="000B2285"/>
    <w:rsid w:val="00537D8F"/>
    <w:rsid w:val="00A117FB"/>
    <w:rsid w:val="00B83A7B"/>
    <w:rsid w:val="00F35591"/>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5E111893"/>
  <w14:defaultImageDpi w14:val="32767"/>
  <w15:chartTrackingRefBased/>
  <w15:docId w15:val="{9F9AC24F-D691-E341-8031-921662AC9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F3559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F3559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F35591"/>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F35591"/>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F35591"/>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F35591"/>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35591"/>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35591"/>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35591"/>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35591"/>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F35591"/>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F35591"/>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F35591"/>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F35591"/>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F3559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3559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3559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35591"/>
    <w:rPr>
      <w:rFonts w:eastAsiaTheme="majorEastAsia" w:cstheme="majorBidi"/>
      <w:color w:val="272727" w:themeColor="text1" w:themeTint="D8"/>
    </w:rPr>
  </w:style>
  <w:style w:type="paragraph" w:styleId="Ttulo">
    <w:name w:val="Title"/>
    <w:basedOn w:val="Normal"/>
    <w:next w:val="Normal"/>
    <w:link w:val="TtuloCar"/>
    <w:uiPriority w:val="10"/>
    <w:qFormat/>
    <w:rsid w:val="00F35591"/>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3559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35591"/>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3559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35591"/>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F35591"/>
    <w:rPr>
      <w:i/>
      <w:iCs/>
      <w:color w:val="404040" w:themeColor="text1" w:themeTint="BF"/>
    </w:rPr>
  </w:style>
  <w:style w:type="paragraph" w:styleId="Prrafodelista">
    <w:name w:val="List Paragraph"/>
    <w:basedOn w:val="Normal"/>
    <w:uiPriority w:val="34"/>
    <w:qFormat/>
    <w:rsid w:val="00F35591"/>
    <w:pPr>
      <w:ind w:left="720"/>
      <w:contextualSpacing/>
    </w:pPr>
  </w:style>
  <w:style w:type="character" w:styleId="nfasisintenso">
    <w:name w:val="Intense Emphasis"/>
    <w:basedOn w:val="Fuentedeprrafopredeter"/>
    <w:uiPriority w:val="21"/>
    <w:qFormat/>
    <w:rsid w:val="00F35591"/>
    <w:rPr>
      <w:i/>
      <w:iCs/>
      <w:color w:val="2F5496" w:themeColor="accent1" w:themeShade="BF"/>
    </w:rPr>
  </w:style>
  <w:style w:type="paragraph" w:styleId="Citadestacada">
    <w:name w:val="Intense Quote"/>
    <w:basedOn w:val="Normal"/>
    <w:next w:val="Normal"/>
    <w:link w:val="CitadestacadaCar"/>
    <w:uiPriority w:val="30"/>
    <w:qFormat/>
    <w:rsid w:val="00F3559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F35591"/>
    <w:rPr>
      <w:i/>
      <w:iCs/>
      <w:color w:val="2F5496" w:themeColor="accent1" w:themeShade="BF"/>
    </w:rPr>
  </w:style>
  <w:style w:type="character" w:styleId="Referenciaintensa">
    <w:name w:val="Intense Reference"/>
    <w:basedOn w:val="Fuentedeprrafopredeter"/>
    <w:uiPriority w:val="32"/>
    <w:qFormat/>
    <w:rsid w:val="00F35591"/>
    <w:rPr>
      <w:b/>
      <w:bCs/>
      <w:smallCaps/>
      <w:color w:val="2F5496" w:themeColor="accent1" w:themeShade="BF"/>
      <w:spacing w:val="5"/>
    </w:rPr>
  </w:style>
  <w:style w:type="paragraph" w:styleId="NormalWeb">
    <w:name w:val="Normal (Web)"/>
    <w:basedOn w:val="Normal"/>
    <w:uiPriority w:val="99"/>
    <w:semiHidden/>
    <w:unhideWhenUsed/>
    <w:rsid w:val="00F35591"/>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styleId="Hipervnculo">
    <w:name w:val="Hyperlink"/>
    <w:basedOn w:val="Fuentedeprrafopredeter"/>
    <w:uiPriority w:val="99"/>
    <w:semiHidden/>
    <w:unhideWhenUsed/>
    <w:rsid w:val="00F3559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ian.gov.co/" TargetMode="External"/><Relationship Id="rId5" Type="http://schemas.openxmlformats.org/officeDocument/2006/relationships/hyperlink" Target="https://normograma.dian.gov.co/dian/"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782</Words>
  <Characters>4305</Characters>
  <Application>Microsoft Office Word</Application>
  <DocSecurity>0</DocSecurity>
  <Lines>35</Lines>
  <Paragraphs>10</Paragraphs>
  <ScaleCrop>false</ScaleCrop>
  <Company/>
  <LinksUpToDate>false</LinksUpToDate>
  <CharactersWithSpaces>5077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2025-10-20T14:46:00Z</dcterms:created>
  <dcterms:modified xsi:type="dcterms:W3CDTF">2025-10-20T14:48:00Z</dcterms:modified>
</cp:coreProperties>
</file>