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DD56D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CONCEPTO DIAN 1184 DEL 5 DE AGOSTO DE 2025</w:t>
      </w:r>
    </w:p>
    <w:p w14:paraId="15016D00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DIRECCIÓN DE IMPUESTOS Y ADUANAS NACIONALES</w:t>
      </w:r>
    </w:p>
    <w:p w14:paraId="72BF4787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F27FE87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Bogotá, D.C., 5 de agosto de 2025</w:t>
      </w:r>
    </w:p>
    <w:p w14:paraId="2C5C5DE1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E8A5C99" w14:textId="4CEAAAFD" w:rsidR="00BF639C" w:rsidRPr="00BF639C" w:rsidRDefault="00BF639C" w:rsidP="00BF639C">
      <w:pPr>
        <w:ind w:hanging="2410"/>
        <w:jc w:val="both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Tema: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  <w:t>Procedimiento tributario.</w:t>
      </w:r>
      <w:r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</w:r>
      <w:r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</w:r>
      <w:r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</w:r>
      <w:r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</w:r>
      <w:r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</w:r>
      <w:r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</w:r>
    </w:p>
    <w:p w14:paraId="4D0F4DF2" w14:textId="577987D2" w:rsidR="00BF639C" w:rsidRPr="00BF639C" w:rsidRDefault="00BF639C" w:rsidP="00BF639C">
      <w:pPr>
        <w:ind w:hanging="2410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  <w:t>D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escriptores: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  <w:t>Remisión de las obligaciones tributarias.</w:t>
      </w:r>
    </w:p>
    <w:p w14:paraId="5F2E1A33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Fuentes formales: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  <w:t>Artículo 820 del Estatuto Tributario.</w:t>
      </w:r>
    </w:p>
    <w:p w14:paraId="06AFF5D7" w14:textId="77777777" w:rsidR="00BF639C" w:rsidRPr="00BF639C" w:rsidRDefault="00BF639C" w:rsidP="00BF639C">
      <w:pPr>
        <w:ind w:hanging="2410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  <w:t>Artículo 5 de la Ley 1066 de 2006.</w:t>
      </w:r>
    </w:p>
    <w:p w14:paraId="2776EE62" w14:textId="77777777" w:rsidR="00BF639C" w:rsidRPr="00BF639C" w:rsidRDefault="00BF639C" w:rsidP="00BF639C">
      <w:pPr>
        <w:ind w:hanging="2410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  <w:t>Artículos 1.6.2.7.4 y 1.6.2.7.5 del Decreto 1625 de 2016.</w:t>
      </w:r>
    </w:p>
    <w:p w14:paraId="18A3DEB3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1A33C3C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Cordial saludo.</w:t>
      </w:r>
    </w:p>
    <w:p w14:paraId="4E4AC760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25CF9833" w14:textId="77777777" w:rsidR="00BF639C" w:rsidRPr="00BF639C" w:rsidRDefault="00BF639C" w:rsidP="00BF639C">
      <w:pPr>
        <w:numPr>
          <w:ilvl w:val="0"/>
          <w:numId w:val="1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Esta Subdirección está facultada para absolver las consultas escritas, presentadas de manera general, sobre la interpretación y aplicación de las normas tributarias, aduaneras y de fiscalización cambiaria, en lo de competencia de la DIAN</w:t>
      </w:r>
      <w:r w:rsidRPr="00BF639C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:lang w:val="es-CO" w:eastAsia="es-MX"/>
          <w14:ligatures w14:val="none"/>
        </w:rPr>
        <w:t>1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 En este sentido, la doctrina emitida será de carácter general, no se referirá a asuntos particulares y se someterá a lo consagrado en el artículo 131 de la Ley 2010 de 2019</w:t>
      </w:r>
      <w:r w:rsidRPr="00BF639C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:lang w:val="es-CO" w:eastAsia="es-MX"/>
          <w14:ligatures w14:val="none"/>
        </w:rPr>
        <w:t>2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</w:t>
      </w:r>
    </w:p>
    <w:p w14:paraId="280EACB4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6043681" w14:textId="77777777" w:rsidR="00BF639C" w:rsidRPr="00BF639C" w:rsidRDefault="00BF639C" w:rsidP="00BF639C">
      <w:pPr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b/>
          <w:bCs/>
          <w:color w:val="000000"/>
          <w:kern w:val="36"/>
          <w:lang w:val="es-CO" w:eastAsia="es-MX"/>
          <w14:ligatures w14:val="none"/>
        </w:rPr>
        <w:t>PROBLEMA JURÍDICO</w:t>
      </w:r>
    </w:p>
    <w:p w14:paraId="7AABC6C8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2AF5D148" w14:textId="77777777" w:rsidR="00BF639C" w:rsidRPr="00BF639C" w:rsidRDefault="00BF639C" w:rsidP="00BF639C">
      <w:pPr>
        <w:numPr>
          <w:ilvl w:val="0"/>
          <w:numId w:val="2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¿Pueden las entidades públicas del orden nacional, incluidas las corporaciones autónomas regionales, aplicar la figura de la remisión de deudas tributarias, aduaneras y cambiarias prevista en los incisos 3 y 4 del artículo 820 del Estatuto Tributario y reglamentada por los artículos 1.6.2.7.4 y 1.6.2.7.5 del Decreto 1625 de 2016?</w:t>
      </w:r>
    </w:p>
    <w:p w14:paraId="336A7CEA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746FAF8" w14:textId="77777777" w:rsidR="00BF639C" w:rsidRPr="00BF639C" w:rsidRDefault="00BF639C" w:rsidP="00BF639C">
      <w:pPr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b/>
          <w:bCs/>
          <w:color w:val="000000"/>
          <w:kern w:val="36"/>
          <w:lang w:val="es-CO" w:eastAsia="es-MX"/>
          <w14:ligatures w14:val="none"/>
        </w:rPr>
        <w:t>TESIS JURÍDICA</w:t>
      </w:r>
    </w:p>
    <w:p w14:paraId="1916CD65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1AD2523E" w14:textId="77777777" w:rsidR="00BF639C" w:rsidRPr="00BF639C" w:rsidRDefault="00BF639C" w:rsidP="00BF639C">
      <w:pPr>
        <w:numPr>
          <w:ilvl w:val="0"/>
          <w:numId w:val="3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No. De acuerdo con el parágrafo 2 del artículo 5 de la Ley 1066 de 2006, modificado por el artículo 370 de la Ley 1819 de 2016, para efectos de aplicar la remisión de deudas tributarias, aduaneras y cambiarias, no son aplicables los incisos 3 y 4 del artículo 820 del estatuto Tributario, ni los artículos reglamentarios 1.6.2.7.4</w:t>
      </w:r>
      <w:r w:rsidRPr="00BF639C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:lang w:val="es-CO" w:eastAsia="es-MX"/>
          <w14:ligatures w14:val="none"/>
        </w:rPr>
        <w:t>3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y 1.6.2.7.5</w:t>
      </w:r>
      <w:r w:rsidRPr="00BF639C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:lang w:val="es-CO" w:eastAsia="es-MX"/>
          <w14:ligatures w14:val="none"/>
        </w:rPr>
        <w:t>4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del Decreto 1625 de 2016 por parte de las entidades públicas del orden nacional incluidas las corporaciones autónomas regionales.</w:t>
      </w:r>
    </w:p>
    <w:p w14:paraId="11A9D0FE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AC36A27" w14:textId="77777777" w:rsidR="00BF639C" w:rsidRPr="00BF639C" w:rsidRDefault="00BF639C" w:rsidP="00BF639C">
      <w:pPr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b/>
          <w:bCs/>
          <w:color w:val="000000"/>
          <w:kern w:val="36"/>
          <w:lang w:val="es-CO" w:eastAsia="es-MX"/>
          <w14:ligatures w14:val="none"/>
        </w:rPr>
        <w:t>FUNDAMENTACIÓN</w:t>
      </w:r>
    </w:p>
    <w:p w14:paraId="75CC37C0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  <w:r w:rsidRPr="00BF639C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3683BBEF" w14:textId="77777777" w:rsidR="00BF639C" w:rsidRPr="00BF639C" w:rsidRDefault="00BF639C" w:rsidP="00BF639C">
      <w:pPr>
        <w:numPr>
          <w:ilvl w:val="0"/>
          <w:numId w:val="4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El artículo 820</w:t>
      </w:r>
      <w:r w:rsidRPr="00BF639C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:lang w:val="es-CO" w:eastAsia="es-MX"/>
          <w14:ligatures w14:val="none"/>
        </w:rPr>
        <w:t>5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del Estatuto Tributario faculta al Director General de la DIAN y a los Directores Seccionales de Impuestos y/o Aduanas Nacionales para suprimir del sistema las deudas tributarias, aduaneras y cambiarias cuando se acredite la imposibilidad de cobro, en los siguientes casos: i) si el deudor ha fallecido sin dejar bienes, </w:t>
      </w:r>
      <w:proofErr w:type="spellStart"/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ii</w:t>
      </w:r>
      <w:proofErr w:type="spellEnd"/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) si las obligaciones no superan los 159 UVT, no cuentan con respaldo patrimonial y han estado vencidas por más de 54 meses, </w:t>
      </w:r>
      <w:proofErr w:type="spellStart"/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iii</w:t>
      </w:r>
      <w:proofErr w:type="spellEnd"/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) si las deudas son de hasta 40 UVT y han transcurrido al menos 6 meses desde su exigibilidad, y </w:t>
      </w:r>
      <w:proofErr w:type="spellStart"/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iv</w:t>
      </w:r>
      <w:proofErr w:type="spellEnd"/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) si las deudas superan 40 UVT y hasta 96 UVT, con una antigüedad de al menos 18 meses.</w:t>
      </w:r>
    </w:p>
    <w:p w14:paraId="76CD8AF9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465979C7" w14:textId="77777777" w:rsidR="00BF639C" w:rsidRPr="00BF639C" w:rsidRDefault="00BF639C" w:rsidP="00BF639C">
      <w:pPr>
        <w:numPr>
          <w:ilvl w:val="0"/>
          <w:numId w:val="5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Por su parte, es preciso señalar que los incisos 3 y 4 del referenciado artículo 820 del Estatuto Tributario son procedimientos propios en cabeza de la Unidad Administrativa Especial Dirección de Impuestos y Aduanas Nacionales -DIAN. Esto debido a que el parágrafo 2 del artículo 5</w:t>
      </w:r>
      <w:r w:rsidRPr="00BF639C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:lang w:val="es-CO" w:eastAsia="es-MX"/>
          <w14:ligatures w14:val="none"/>
        </w:rPr>
        <w:t>6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de la Ley 1066 de 2006 establece de forma expresa que las entidades públicas distintas a la DIAN sólo pueden aplicar los incisos 1 y 2 del artículo 820 ibidem, al señalar: </w:t>
      </w:r>
      <w:r w:rsidRPr="00BF639C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«(...) quedan facultados para dar aplicación a los incisos 1 y 2 del artículo 820 del Estatuto Tributario (...)»</w:t>
      </w:r>
    </w:p>
    <w:p w14:paraId="71A1A2C7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0EEA42D" w14:textId="77777777" w:rsidR="00BF639C" w:rsidRPr="00BF639C" w:rsidRDefault="00BF639C" w:rsidP="00BF639C">
      <w:pPr>
        <w:numPr>
          <w:ilvl w:val="0"/>
          <w:numId w:val="6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De acuerdo con lo anterior, es dable colegir que, esta es una habilitación de interpretación estricta en virtud de los principios de reserva de ley y legalidad tributaria consagrados en los artículos 150 y 338 de la Constitución Política.</w:t>
      </w:r>
    </w:p>
    <w:p w14:paraId="3E1D442A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3CCD5BB" w14:textId="77777777" w:rsidR="00BF639C" w:rsidRPr="00BF639C" w:rsidRDefault="00BF639C" w:rsidP="00BF639C">
      <w:pPr>
        <w:numPr>
          <w:ilvl w:val="0"/>
          <w:numId w:val="7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 ese orden de ides, las entidades públicas del orden nacional, incluidas las corporaciones autónomas regionales, no pueden aplicar las causales de </w:t>
      </w:r>
      <w:proofErr w:type="spellStart"/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remisibilidad</w:t>
      </w:r>
      <w:proofErr w:type="spellEnd"/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contenidas en los incisos 3 y 4 del artículo 820 del Estatuto Tributario, ni los procedimientos previstos en los artículos 1.6.2.7.4 y 1.6.2.7.5 del Decreto 1625 de 2016.</w:t>
      </w:r>
    </w:p>
    <w:p w14:paraId="64300B92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2238D96D" w14:textId="77777777" w:rsidR="00BF639C" w:rsidRPr="00BF639C" w:rsidRDefault="00BF639C" w:rsidP="00BF639C">
      <w:pPr>
        <w:numPr>
          <w:ilvl w:val="0"/>
          <w:numId w:val="8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conclusión, la remisión regulada en el artículo 820 del Estatuto Tributario se limita exclusivamente a los incisos 1 y 2 del citado artículo 820 ibidem, conforme al parágrafo 2 del artículo 5 de la Ley 1066 de 2006. Cualquier ampliación de esta competencia configuraría una vulneración de los ya mencionados principios de reserva de ley y legalidad tributaria.</w:t>
      </w:r>
    </w:p>
    <w:p w14:paraId="79F9E7F6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344BF82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 los anteriores términos se absuelve su petición y se recuerda que la normativa, jurisprudencia y doctrina en materia tributaria, aduanera y de fiscalización cambiaria, en lo de competencia de esta Entidad, puede </w:t>
      </w: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 xml:space="preserve">consultarse en el normograma DIAN: </w:t>
      </w:r>
      <w:hyperlink r:id="rId5" w:history="1">
        <w:r w:rsidRPr="00BF639C">
          <w:rPr>
            <w:rFonts w:ascii="Verdana" w:eastAsia="Times New Roman" w:hAnsi="Verdana" w:cs="Times New Roman"/>
            <w:color w:val="000000"/>
            <w:kern w:val="0"/>
            <w:u w:val="single"/>
            <w:lang w:val="es-CO" w:eastAsia="es-MX"/>
            <w14:ligatures w14:val="none"/>
          </w:rPr>
          <w:t>https://normograma.dian.gov.co/dian/</w:t>
        </w:r>
      </w:hyperlink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</w:t>
      </w:r>
    </w:p>
    <w:p w14:paraId="7F738A5B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E8FC4BE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Atentamente,</w:t>
      </w:r>
    </w:p>
    <w:p w14:paraId="3C7B64D8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4D898AB" w14:textId="77777777" w:rsidR="00BF639C" w:rsidRPr="00BF639C" w:rsidRDefault="00BF639C" w:rsidP="00BF639C">
      <w:pPr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b/>
          <w:bCs/>
          <w:color w:val="000000"/>
          <w:kern w:val="36"/>
          <w:lang w:val="es-CO" w:eastAsia="es-MX"/>
          <w14:ligatures w14:val="none"/>
        </w:rPr>
        <w:t>INGRID CASTAÑEDA CEPEDA</w:t>
      </w:r>
    </w:p>
    <w:p w14:paraId="6465CF08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Subdirectora de Normativa y Doctrina (A) </w:t>
      </w:r>
    </w:p>
    <w:p w14:paraId="30C449DD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Dirección de Gestión Jurídica</w:t>
      </w:r>
    </w:p>
    <w:p w14:paraId="75526299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U.A.E. Dirección de Impuestos y Aduanas Nacionales – DIAN </w:t>
      </w:r>
    </w:p>
    <w:p w14:paraId="749D7413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Dirección: </w:t>
      </w:r>
      <w:proofErr w:type="spellStart"/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Cra</w:t>
      </w:r>
      <w:proofErr w:type="spellEnd"/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 8 # 6C-38 Edificio San Agustín - Piso 4 </w:t>
      </w:r>
    </w:p>
    <w:p w14:paraId="577AFDB4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BF639C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Bogotá, D.C.</w:t>
      </w:r>
    </w:p>
    <w:p w14:paraId="2463C586" w14:textId="77777777" w:rsidR="00BF639C" w:rsidRPr="00BF639C" w:rsidRDefault="00BF639C" w:rsidP="00BF639C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hyperlink r:id="rId6" w:history="1">
        <w:r w:rsidRPr="00BF639C">
          <w:rPr>
            <w:rFonts w:ascii="Verdana" w:eastAsia="Times New Roman" w:hAnsi="Verdana" w:cs="Times New Roman"/>
            <w:color w:val="000000"/>
            <w:kern w:val="0"/>
            <w:u w:val="single"/>
            <w:lang w:val="es-CO" w:eastAsia="es-MX"/>
            <w14:ligatures w14:val="none"/>
          </w:rPr>
          <w:t>www.dian.gov.co</w:t>
        </w:r>
      </w:hyperlink>
    </w:p>
    <w:p w14:paraId="229D6512" w14:textId="77777777" w:rsidR="00BF639C" w:rsidRPr="00BF639C" w:rsidRDefault="00BF639C" w:rsidP="00BF639C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F21030D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11DDC"/>
    <w:multiLevelType w:val="multilevel"/>
    <w:tmpl w:val="750264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135454"/>
    <w:multiLevelType w:val="multilevel"/>
    <w:tmpl w:val="C6B003D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C81323"/>
    <w:multiLevelType w:val="multilevel"/>
    <w:tmpl w:val="A71209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CB2B0C"/>
    <w:multiLevelType w:val="multilevel"/>
    <w:tmpl w:val="6DB682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E84D5E"/>
    <w:multiLevelType w:val="multilevel"/>
    <w:tmpl w:val="A64AD8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B0436A"/>
    <w:multiLevelType w:val="multilevel"/>
    <w:tmpl w:val="04520A0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6B1F78"/>
    <w:multiLevelType w:val="multilevel"/>
    <w:tmpl w:val="DA8E0D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5969AF"/>
    <w:multiLevelType w:val="multilevel"/>
    <w:tmpl w:val="36CC88E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3142618">
    <w:abstractNumId w:val="0"/>
  </w:num>
  <w:num w:numId="2" w16cid:durableId="1987080598">
    <w:abstractNumId w:val="4"/>
    <w:lvlOverride w:ilvl="0">
      <w:lvl w:ilvl="0">
        <w:numFmt w:val="decimal"/>
        <w:lvlText w:val="%1."/>
        <w:lvlJc w:val="left"/>
      </w:lvl>
    </w:lvlOverride>
  </w:num>
  <w:num w:numId="3" w16cid:durableId="1801145408">
    <w:abstractNumId w:val="2"/>
    <w:lvlOverride w:ilvl="0">
      <w:lvl w:ilvl="0">
        <w:numFmt w:val="decimal"/>
        <w:lvlText w:val="%1."/>
        <w:lvlJc w:val="left"/>
      </w:lvl>
    </w:lvlOverride>
  </w:num>
  <w:num w:numId="4" w16cid:durableId="1696148919">
    <w:abstractNumId w:val="6"/>
    <w:lvlOverride w:ilvl="0">
      <w:lvl w:ilvl="0">
        <w:numFmt w:val="decimal"/>
        <w:lvlText w:val="%1."/>
        <w:lvlJc w:val="left"/>
      </w:lvl>
    </w:lvlOverride>
  </w:num>
  <w:num w:numId="5" w16cid:durableId="1643996811">
    <w:abstractNumId w:val="3"/>
    <w:lvlOverride w:ilvl="0">
      <w:lvl w:ilvl="0">
        <w:numFmt w:val="decimal"/>
        <w:lvlText w:val="%1."/>
        <w:lvlJc w:val="left"/>
      </w:lvl>
    </w:lvlOverride>
  </w:num>
  <w:num w:numId="6" w16cid:durableId="2075464588">
    <w:abstractNumId w:val="7"/>
    <w:lvlOverride w:ilvl="0">
      <w:lvl w:ilvl="0">
        <w:numFmt w:val="decimal"/>
        <w:lvlText w:val="%1."/>
        <w:lvlJc w:val="left"/>
      </w:lvl>
    </w:lvlOverride>
  </w:num>
  <w:num w:numId="7" w16cid:durableId="140081920">
    <w:abstractNumId w:val="5"/>
    <w:lvlOverride w:ilvl="0">
      <w:lvl w:ilvl="0">
        <w:numFmt w:val="decimal"/>
        <w:lvlText w:val="%1."/>
        <w:lvlJc w:val="left"/>
      </w:lvl>
    </w:lvlOverride>
  </w:num>
  <w:num w:numId="8" w16cid:durableId="1424691240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39C"/>
    <w:rsid w:val="000B2285"/>
    <w:rsid w:val="00537D8F"/>
    <w:rsid w:val="00A117FB"/>
    <w:rsid w:val="00B83A7B"/>
    <w:rsid w:val="00BF639C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FAA895"/>
  <w14:defaultImageDpi w14:val="32767"/>
  <w15:chartTrackingRefBased/>
  <w15:docId w15:val="{3427C412-6E03-4048-AFA3-683E88085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F63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F63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F63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F63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F63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F639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F639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F639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F639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F63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F63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F63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F639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F639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F639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F639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F639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F639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F63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F63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F639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F63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F63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F639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F639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F639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F63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F639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F639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F639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character" w:customStyle="1" w:styleId="apple-tab-span">
    <w:name w:val="apple-tab-span"/>
    <w:basedOn w:val="Fuentedeprrafopredeter"/>
    <w:rsid w:val="00BF639C"/>
  </w:style>
  <w:style w:type="character" w:styleId="Hipervnculo">
    <w:name w:val="Hyperlink"/>
    <w:basedOn w:val="Fuentedeprrafopredeter"/>
    <w:uiPriority w:val="99"/>
    <w:semiHidden/>
    <w:unhideWhenUsed/>
    <w:rsid w:val="00BF63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ian.gov.co/" TargetMode="External"/><Relationship Id="rId5" Type="http://schemas.openxmlformats.org/officeDocument/2006/relationships/hyperlink" Target="https://normograma.dian.gov.co/dia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688</Words>
  <Characters>3786</Characters>
  <Application>Microsoft Office Word</Application>
  <DocSecurity>0</DocSecurity>
  <Lines>31</Lines>
  <Paragraphs>8</Paragraphs>
  <ScaleCrop>false</ScaleCrop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2025-10-20T16:22:00Z</dcterms:created>
  <dcterms:modified xsi:type="dcterms:W3CDTF">2025-10-20T16:24:00Z</dcterms:modified>
</cp:coreProperties>
</file>