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FEAA8"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b/>
          <w:bCs/>
          <w:color w:val="000000"/>
          <w:kern w:val="0"/>
          <w:lang w:val="es-CO" w:eastAsia="es-MX"/>
          <w14:ligatures w14:val="none"/>
        </w:rPr>
        <w:t>CONCEPTO DIAN 1189 DEL 5 DE AGOSTO DE 2025</w:t>
      </w:r>
    </w:p>
    <w:p w14:paraId="5ADA020D"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b/>
          <w:bCs/>
          <w:color w:val="000000"/>
          <w:kern w:val="0"/>
          <w:lang w:val="es-CO" w:eastAsia="es-MX"/>
          <w14:ligatures w14:val="none"/>
        </w:rPr>
        <w:t>DIRECCIÓN DE IMPUESTOS Y ADUANAS NACIONALES</w:t>
      </w:r>
    </w:p>
    <w:p w14:paraId="788D9073"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69EB82E9"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Bogotá D.C., 5 de agosto de 2025</w:t>
      </w:r>
    </w:p>
    <w:p w14:paraId="0B0A1D82"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1E1AB72E"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Tema:</w:t>
      </w:r>
      <w:r w:rsidRPr="0063761F">
        <w:rPr>
          <w:rFonts w:ascii="Verdana" w:eastAsia="Times New Roman" w:hAnsi="Verdana" w:cs="Times New Roman"/>
          <w:color w:val="000000"/>
          <w:kern w:val="0"/>
          <w:lang w:val="es-CO" w:eastAsia="es-MX"/>
          <w14:ligatures w14:val="none"/>
        </w:rPr>
        <w:tab/>
        <w:t>Procedimiento tributario</w:t>
      </w:r>
    </w:p>
    <w:p w14:paraId="01F226F9"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Descriptores:</w:t>
      </w:r>
      <w:r w:rsidRPr="0063761F">
        <w:rPr>
          <w:rFonts w:ascii="Verdana" w:eastAsia="Times New Roman" w:hAnsi="Verdana" w:cs="Times New Roman"/>
          <w:color w:val="000000"/>
          <w:kern w:val="0"/>
          <w:lang w:val="es-CO" w:eastAsia="es-MX"/>
          <w14:ligatures w14:val="none"/>
        </w:rPr>
        <w:tab/>
        <w:t>Declaración Impuesto al Patrimonio</w:t>
      </w:r>
    </w:p>
    <w:p w14:paraId="41CDC7F8"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Fuentes formales:</w:t>
      </w:r>
      <w:r w:rsidRPr="0063761F">
        <w:rPr>
          <w:rFonts w:ascii="Verdana" w:eastAsia="Times New Roman" w:hAnsi="Verdana" w:cs="Times New Roman"/>
          <w:color w:val="000000"/>
          <w:kern w:val="0"/>
          <w:lang w:val="es-CO" w:eastAsia="es-MX"/>
          <w14:ligatures w14:val="none"/>
        </w:rPr>
        <w:tab/>
        <w:t>Artículos 298, 298-8 y 580 del Estatuto Tributario</w:t>
      </w:r>
    </w:p>
    <w:p w14:paraId="0E7D40B4"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7627E811"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Cordial saludo,</w:t>
      </w:r>
    </w:p>
    <w:p w14:paraId="73FEDA98"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1314F42E" w14:textId="77777777" w:rsidR="0063761F" w:rsidRPr="0063761F" w:rsidRDefault="0063761F" w:rsidP="0063761F">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63761F">
        <w:rPr>
          <w:rFonts w:ascii="Verdana" w:eastAsia="Times New Roman" w:hAnsi="Verdana" w:cs="Times New Roman"/>
          <w:color w:val="000000"/>
          <w:kern w:val="0"/>
          <w:sz w:val="14"/>
          <w:szCs w:val="14"/>
          <w:vertAlign w:val="superscript"/>
          <w:lang w:val="es-CO" w:eastAsia="es-MX"/>
          <w14:ligatures w14:val="none"/>
        </w:rPr>
        <w:t>1</w:t>
      </w:r>
      <w:r w:rsidRPr="0063761F">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63761F">
        <w:rPr>
          <w:rFonts w:ascii="Verdana" w:eastAsia="Times New Roman" w:hAnsi="Verdana" w:cs="Times New Roman"/>
          <w:color w:val="000000"/>
          <w:kern w:val="0"/>
          <w:sz w:val="14"/>
          <w:szCs w:val="14"/>
          <w:vertAlign w:val="superscript"/>
          <w:lang w:val="es-CO" w:eastAsia="es-MX"/>
          <w14:ligatures w14:val="none"/>
        </w:rPr>
        <w:t>2</w:t>
      </w:r>
      <w:r w:rsidRPr="0063761F">
        <w:rPr>
          <w:rFonts w:ascii="Verdana" w:eastAsia="Times New Roman" w:hAnsi="Verdana" w:cs="Times New Roman"/>
          <w:color w:val="000000"/>
          <w:kern w:val="0"/>
          <w:lang w:val="es-CO" w:eastAsia="es-MX"/>
          <w14:ligatures w14:val="none"/>
        </w:rPr>
        <w:t>.</w:t>
      </w:r>
    </w:p>
    <w:p w14:paraId="25E83F09"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59C70A32" w14:textId="77777777" w:rsidR="0063761F" w:rsidRPr="0063761F" w:rsidRDefault="0063761F" w:rsidP="0063761F">
      <w:pPr>
        <w:jc w:val="both"/>
        <w:outlineLvl w:val="0"/>
        <w:rPr>
          <w:rFonts w:ascii="Times New Roman" w:eastAsia="Times New Roman" w:hAnsi="Times New Roman" w:cs="Times New Roman"/>
          <w:b/>
          <w:bCs/>
          <w:kern w:val="36"/>
          <w:sz w:val="48"/>
          <w:szCs w:val="48"/>
          <w:lang w:val="es-CO" w:eastAsia="es-MX"/>
          <w14:ligatures w14:val="none"/>
        </w:rPr>
      </w:pPr>
      <w:r w:rsidRPr="0063761F">
        <w:rPr>
          <w:rFonts w:ascii="Verdana" w:eastAsia="Times New Roman" w:hAnsi="Verdana" w:cs="Times New Roman"/>
          <w:b/>
          <w:bCs/>
          <w:color w:val="000000"/>
          <w:kern w:val="36"/>
          <w:lang w:val="es-CO" w:eastAsia="es-MX"/>
          <w14:ligatures w14:val="none"/>
        </w:rPr>
        <w:t>PROBLEMA JURÍDICO</w:t>
      </w:r>
    </w:p>
    <w:p w14:paraId="43DEF668"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5B9FD03E" w14:textId="77777777" w:rsidR="0063761F" w:rsidRPr="0063761F" w:rsidRDefault="0063761F" w:rsidP="0063761F">
      <w:pPr>
        <w:numPr>
          <w:ilvl w:val="0"/>
          <w:numId w:val="2"/>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¿La declaración del impuesto al patrimonio presentada sin pago se tiene por no presentada?</w:t>
      </w:r>
    </w:p>
    <w:p w14:paraId="1D04B9E9"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595CDBE3" w14:textId="77777777" w:rsidR="0063761F" w:rsidRPr="0063761F" w:rsidRDefault="0063761F" w:rsidP="0063761F">
      <w:pPr>
        <w:jc w:val="both"/>
        <w:outlineLvl w:val="0"/>
        <w:rPr>
          <w:rFonts w:ascii="Times New Roman" w:eastAsia="Times New Roman" w:hAnsi="Times New Roman" w:cs="Times New Roman"/>
          <w:b/>
          <w:bCs/>
          <w:kern w:val="36"/>
          <w:sz w:val="48"/>
          <w:szCs w:val="48"/>
          <w:lang w:val="es-CO" w:eastAsia="es-MX"/>
          <w14:ligatures w14:val="none"/>
        </w:rPr>
      </w:pPr>
      <w:r w:rsidRPr="0063761F">
        <w:rPr>
          <w:rFonts w:ascii="Verdana" w:eastAsia="Times New Roman" w:hAnsi="Verdana" w:cs="Times New Roman"/>
          <w:b/>
          <w:bCs/>
          <w:color w:val="000000"/>
          <w:kern w:val="36"/>
          <w:lang w:val="es-CO" w:eastAsia="es-MX"/>
          <w14:ligatures w14:val="none"/>
        </w:rPr>
        <w:t>TESIS JURÍDICA</w:t>
      </w:r>
    </w:p>
    <w:p w14:paraId="5A6C6ECD"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0CE3986D" w14:textId="77777777" w:rsidR="0063761F" w:rsidRPr="0063761F" w:rsidRDefault="0063761F" w:rsidP="0063761F">
      <w:pPr>
        <w:numPr>
          <w:ilvl w:val="0"/>
          <w:numId w:val="3"/>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 xml:space="preserve">No. La declaración del impuesto al patrimonio presentada sin pago no se considera, por esa sola circunstancia, como no presentada, ya que ni el artículo 298 ni el artículo 580 del Estatuto Tributario prevén tal consecuencia. En ausencia de norma expresa que disponga lo contrario, la declaración produce efectos jurídicos, sin perjuicio de la </w:t>
      </w:r>
      <w:proofErr w:type="spellStart"/>
      <w:r w:rsidRPr="0063761F">
        <w:rPr>
          <w:rFonts w:ascii="Verdana" w:eastAsia="Times New Roman" w:hAnsi="Verdana" w:cs="Times New Roman"/>
          <w:color w:val="000000"/>
          <w:kern w:val="0"/>
          <w:lang w:val="es-CO" w:eastAsia="es-MX"/>
          <w14:ligatures w14:val="none"/>
        </w:rPr>
        <w:t>causación</w:t>
      </w:r>
      <w:proofErr w:type="spellEnd"/>
      <w:r w:rsidRPr="0063761F">
        <w:rPr>
          <w:rFonts w:ascii="Verdana" w:eastAsia="Times New Roman" w:hAnsi="Verdana" w:cs="Times New Roman"/>
          <w:color w:val="000000"/>
          <w:kern w:val="0"/>
          <w:lang w:val="es-CO" w:eastAsia="es-MX"/>
          <w14:ligatures w14:val="none"/>
        </w:rPr>
        <w:t xml:space="preserve"> de intereses moratorios y demás consecuencias derivadas de la falta de pago.</w:t>
      </w:r>
    </w:p>
    <w:p w14:paraId="125B3AEF"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50F0922E" w14:textId="77777777" w:rsidR="0063761F" w:rsidRPr="0063761F" w:rsidRDefault="0063761F" w:rsidP="0063761F">
      <w:pPr>
        <w:jc w:val="both"/>
        <w:outlineLvl w:val="0"/>
        <w:rPr>
          <w:rFonts w:ascii="Times New Roman" w:eastAsia="Times New Roman" w:hAnsi="Times New Roman" w:cs="Times New Roman"/>
          <w:b/>
          <w:bCs/>
          <w:kern w:val="36"/>
          <w:sz w:val="48"/>
          <w:szCs w:val="48"/>
          <w:lang w:val="es-CO" w:eastAsia="es-MX"/>
          <w14:ligatures w14:val="none"/>
        </w:rPr>
      </w:pPr>
      <w:r w:rsidRPr="0063761F">
        <w:rPr>
          <w:rFonts w:ascii="Verdana" w:eastAsia="Times New Roman" w:hAnsi="Verdana" w:cs="Times New Roman"/>
          <w:b/>
          <w:bCs/>
          <w:color w:val="000000"/>
          <w:kern w:val="36"/>
          <w:lang w:val="es-CO" w:eastAsia="es-MX"/>
          <w14:ligatures w14:val="none"/>
        </w:rPr>
        <w:t>FUNDAMENTACIÓN</w:t>
      </w:r>
      <w:r w:rsidRPr="0063761F">
        <w:rPr>
          <w:rFonts w:ascii="Verdana" w:eastAsia="Times New Roman" w:hAnsi="Verdana" w:cs="Times New Roman"/>
          <w:b/>
          <w:bCs/>
          <w:color w:val="000000"/>
          <w:kern w:val="36"/>
          <w:lang w:val="es-CO" w:eastAsia="es-MX"/>
          <w14:ligatures w14:val="none"/>
        </w:rPr>
        <w:tab/>
      </w:r>
    </w:p>
    <w:p w14:paraId="3824C0C2"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7503A857" w14:textId="77777777" w:rsidR="0063761F" w:rsidRPr="0063761F" w:rsidRDefault="0063761F" w:rsidP="0063761F">
      <w:pPr>
        <w:numPr>
          <w:ilvl w:val="0"/>
          <w:numId w:val="4"/>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El artículo 298 del Estatuto Tributario establece que el impuesto al patrimonio debe presentarse con pago en los bancos o entidades autorizadas, dentro de los plazos que señale el Gobierno Nacional. Sin embargo, dicha exigencia no incorpora una consecuencia jurídica expresa según la cual la falta de pago implique que la declaración se tenga por no presentada.</w:t>
      </w:r>
    </w:p>
    <w:p w14:paraId="285E17F4"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lastRenderedPageBreak/>
        <w:br/>
      </w:r>
    </w:p>
    <w:p w14:paraId="3CC9B957" w14:textId="77777777" w:rsidR="0063761F" w:rsidRPr="0063761F" w:rsidRDefault="0063761F" w:rsidP="0063761F">
      <w:pPr>
        <w:numPr>
          <w:ilvl w:val="0"/>
          <w:numId w:val="5"/>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De igual forma, el artículo 298-8, que remite a las demás disposiciones concordantes del Estatuto Tributario sobre declaración, pago, administración y control, no introduce una regla distinta que permita concluir que la omisión en el pago impide que la declaración produzca efectos legales.</w:t>
      </w:r>
    </w:p>
    <w:p w14:paraId="21D8264F"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7C426728" w14:textId="77777777" w:rsidR="0063761F" w:rsidRPr="0063761F" w:rsidRDefault="0063761F" w:rsidP="0063761F">
      <w:pPr>
        <w:numPr>
          <w:ilvl w:val="0"/>
          <w:numId w:val="6"/>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Por su parte, el artículo 580 del Estatuto Tributario establece de manera expresa y restrictiva los eventos en los cuales una declaración se tiene por no presentada. Ninguna de las causales contempla la falta de pago</w:t>
      </w:r>
      <w:r w:rsidRPr="0063761F">
        <w:rPr>
          <w:rFonts w:ascii="Verdana" w:eastAsia="Times New Roman" w:hAnsi="Verdana" w:cs="Times New Roman"/>
          <w:b/>
          <w:bCs/>
          <w:color w:val="000000"/>
          <w:kern w:val="0"/>
          <w:lang w:val="es-CO" w:eastAsia="es-MX"/>
          <w14:ligatures w14:val="none"/>
        </w:rPr>
        <w:t xml:space="preserve">, </w:t>
      </w:r>
      <w:r w:rsidRPr="0063761F">
        <w:rPr>
          <w:rFonts w:ascii="Verdana" w:eastAsia="Times New Roman" w:hAnsi="Verdana" w:cs="Times New Roman"/>
          <w:color w:val="000000"/>
          <w:kern w:val="0"/>
          <w:lang w:val="es-CO" w:eastAsia="es-MX"/>
          <w14:ligatures w14:val="none"/>
        </w:rPr>
        <w:t>lo cual impide extender dicha consecuencia a casos no previstos por la ley.</w:t>
      </w:r>
    </w:p>
    <w:p w14:paraId="1A7C6E28"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329ABB57" w14:textId="77777777" w:rsidR="0063761F" w:rsidRPr="0063761F" w:rsidRDefault="0063761F" w:rsidP="0063761F">
      <w:pPr>
        <w:numPr>
          <w:ilvl w:val="0"/>
          <w:numId w:val="7"/>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Debe tenerse en cuenta que, cuando el legislador ha determinado que una declaración sin pago se entienda como no presentada, lo ha dispuesto de forma expresa en normas específicas</w:t>
      </w:r>
      <w:r w:rsidRPr="0063761F">
        <w:rPr>
          <w:rFonts w:ascii="Verdana" w:eastAsia="Times New Roman" w:hAnsi="Verdana" w:cs="Times New Roman"/>
          <w:color w:val="000000"/>
          <w:kern w:val="0"/>
          <w:sz w:val="14"/>
          <w:szCs w:val="14"/>
          <w:vertAlign w:val="superscript"/>
          <w:lang w:val="es-CO" w:eastAsia="es-MX"/>
          <w14:ligatures w14:val="none"/>
        </w:rPr>
        <w:t>3</w:t>
      </w:r>
      <w:r w:rsidRPr="0063761F">
        <w:rPr>
          <w:rFonts w:ascii="Verdana" w:eastAsia="Times New Roman" w:hAnsi="Verdana" w:cs="Times New Roman"/>
          <w:color w:val="000000"/>
          <w:kern w:val="0"/>
          <w:lang w:val="es-CO" w:eastAsia="es-MX"/>
          <w14:ligatures w14:val="none"/>
        </w:rPr>
        <w:t>, lo que no ocurre con la declaración del impuesto al patrimonio. En consecuencia, no puede extenderse la consecuencia adversa que implica una sanción de tal naturaleza sin una disposición que así lo disponga.</w:t>
      </w:r>
    </w:p>
    <w:p w14:paraId="7511C508"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45C0A83C" w14:textId="77777777" w:rsidR="0063761F" w:rsidRPr="0063761F" w:rsidRDefault="0063761F" w:rsidP="0063761F">
      <w:pPr>
        <w:numPr>
          <w:ilvl w:val="0"/>
          <w:numId w:val="8"/>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Finalmente, el artículo 634</w:t>
      </w:r>
      <w:r w:rsidRPr="0063761F">
        <w:rPr>
          <w:rFonts w:ascii="Verdana" w:eastAsia="Times New Roman" w:hAnsi="Verdana" w:cs="Times New Roman"/>
          <w:color w:val="000000"/>
          <w:kern w:val="0"/>
          <w:sz w:val="14"/>
          <w:szCs w:val="14"/>
          <w:vertAlign w:val="superscript"/>
          <w:lang w:val="es-CO" w:eastAsia="es-MX"/>
          <w14:ligatures w14:val="none"/>
        </w:rPr>
        <w:t>4</w:t>
      </w:r>
      <w:r w:rsidRPr="0063761F">
        <w:rPr>
          <w:rFonts w:ascii="Verdana" w:eastAsia="Times New Roman" w:hAnsi="Verdana" w:cs="Times New Roman"/>
          <w:color w:val="000000"/>
          <w:kern w:val="0"/>
          <w:vertAlign w:val="superscript"/>
          <w:lang w:val="es-CO" w:eastAsia="es-MX"/>
          <w14:ligatures w14:val="none"/>
        </w:rPr>
        <w:t xml:space="preserve"> </w:t>
      </w:r>
      <w:r w:rsidRPr="0063761F">
        <w:rPr>
          <w:rFonts w:ascii="Verdana" w:eastAsia="Times New Roman" w:hAnsi="Verdana" w:cs="Times New Roman"/>
          <w:color w:val="000000"/>
          <w:kern w:val="0"/>
          <w:lang w:val="es-CO" w:eastAsia="es-MX"/>
          <w14:ligatures w14:val="none"/>
        </w:rPr>
        <w:t>del Estatuto Tributario establece que, en caso de mora en el pago de los impuestos, se generan intereses moratorios por cada día calendario de retardo. Esto confirma que la declaración presentada sin pago presta mérito ejecutivo, y que de ella surge no solo la obligación de pagar el impuesto correspondiente, sino también la obligación de liquidar y pagar los intereses moratorios generados por el incumplimiento en el pago oportuno.</w:t>
      </w:r>
    </w:p>
    <w:p w14:paraId="0B02E808" w14:textId="77777777" w:rsidR="0063761F" w:rsidRPr="0063761F" w:rsidRDefault="0063761F" w:rsidP="0063761F">
      <w:pPr>
        <w:rPr>
          <w:rFonts w:ascii="Times New Roman" w:eastAsia="Times New Roman" w:hAnsi="Times New Roman" w:cs="Times New Roman"/>
          <w:kern w:val="0"/>
          <w:lang w:val="es-CO" w:eastAsia="es-MX"/>
          <w14:ligatures w14:val="none"/>
        </w:rPr>
      </w:pPr>
      <w:r w:rsidRPr="0063761F">
        <w:rPr>
          <w:rFonts w:ascii="Times New Roman" w:eastAsia="Times New Roman" w:hAnsi="Times New Roman" w:cs="Times New Roman"/>
          <w:kern w:val="0"/>
          <w:lang w:val="es-CO" w:eastAsia="es-MX"/>
          <w14:ligatures w14:val="none"/>
        </w:rPr>
        <w:br/>
      </w:r>
    </w:p>
    <w:p w14:paraId="098C3368" w14:textId="77777777" w:rsidR="0063761F" w:rsidRPr="0063761F" w:rsidRDefault="0063761F" w:rsidP="0063761F">
      <w:pPr>
        <w:numPr>
          <w:ilvl w:val="0"/>
          <w:numId w:val="9"/>
        </w:numPr>
        <w:jc w:val="both"/>
        <w:textAlignment w:val="baseline"/>
        <w:rPr>
          <w:rFonts w:ascii="Verdana" w:eastAsia="Times New Roman" w:hAnsi="Verdana" w:cs="Times New Roman"/>
          <w:color w:val="000000"/>
          <w:kern w:val="0"/>
          <w:lang w:val="es-CO" w:eastAsia="es-MX"/>
          <w14:ligatures w14:val="none"/>
        </w:rPr>
      </w:pPr>
      <w:r w:rsidRPr="0063761F">
        <w:rPr>
          <w:rFonts w:ascii="Verdana" w:eastAsia="Times New Roman" w:hAnsi="Verdana" w:cs="Times New Roman"/>
          <w:color w:val="000000"/>
          <w:kern w:val="0"/>
          <w:lang w:val="es-CO" w:eastAsia="es-MX"/>
          <w14:ligatures w14:val="none"/>
        </w:rPr>
        <w:t xml:space="preserve">En conclusión, la declaración del impuesto al patrimonio presentada sin pago no se considera como no presentada, ni pierde efectos legales por esa sola razón. Aunque el artículo 298 del Estatuto Tributario exige su presentación con pago, no existe una norma expresa que disponga que la omisión del pago implique que la declaración se tenga por no presentada. En consecuencia, la declaración produce efectos jurídicos, sin perjuicio de las consecuencias derivadas de la falta de pago, como la </w:t>
      </w:r>
      <w:proofErr w:type="spellStart"/>
      <w:r w:rsidRPr="0063761F">
        <w:rPr>
          <w:rFonts w:ascii="Verdana" w:eastAsia="Times New Roman" w:hAnsi="Verdana" w:cs="Times New Roman"/>
          <w:color w:val="000000"/>
          <w:kern w:val="0"/>
          <w:lang w:val="es-CO" w:eastAsia="es-MX"/>
          <w14:ligatures w14:val="none"/>
        </w:rPr>
        <w:t>causación</w:t>
      </w:r>
      <w:proofErr w:type="spellEnd"/>
      <w:r w:rsidRPr="0063761F">
        <w:rPr>
          <w:rFonts w:ascii="Verdana" w:eastAsia="Times New Roman" w:hAnsi="Verdana" w:cs="Times New Roman"/>
          <w:color w:val="000000"/>
          <w:kern w:val="0"/>
          <w:lang w:val="es-CO" w:eastAsia="es-MX"/>
          <w14:ligatures w14:val="none"/>
        </w:rPr>
        <w:t xml:space="preserve"> de intereses moratorios.</w:t>
      </w:r>
    </w:p>
    <w:p w14:paraId="629CCE9B"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34AF087F"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w:t>
      </w:r>
      <w:r w:rsidRPr="0063761F">
        <w:rPr>
          <w:rFonts w:ascii="Verdana" w:eastAsia="Times New Roman" w:hAnsi="Verdana" w:cs="Times New Roman"/>
          <w:color w:val="000000"/>
          <w:kern w:val="0"/>
          <w:lang w:val="es-CO" w:eastAsia="es-MX"/>
          <w14:ligatures w14:val="none"/>
        </w:rPr>
        <w:lastRenderedPageBreak/>
        <w:t xml:space="preserve">consultarse en el normograma DIAN: </w:t>
      </w:r>
      <w:hyperlink r:id="rId5" w:history="1">
        <w:r w:rsidRPr="0063761F">
          <w:rPr>
            <w:rFonts w:ascii="Verdana" w:eastAsia="Times New Roman" w:hAnsi="Verdana" w:cs="Times New Roman"/>
            <w:color w:val="000000"/>
            <w:kern w:val="0"/>
            <w:u w:val="single"/>
            <w:lang w:val="es-CO" w:eastAsia="es-MX"/>
            <w14:ligatures w14:val="none"/>
          </w:rPr>
          <w:t>https://normograma.dian.gov.co/dian/</w:t>
        </w:r>
      </w:hyperlink>
      <w:r w:rsidRPr="0063761F">
        <w:rPr>
          <w:rFonts w:ascii="Verdana" w:eastAsia="Times New Roman" w:hAnsi="Verdana" w:cs="Times New Roman"/>
          <w:color w:val="000000"/>
          <w:kern w:val="0"/>
          <w:lang w:val="es-CO" w:eastAsia="es-MX"/>
          <w14:ligatures w14:val="none"/>
        </w:rPr>
        <w:t>.</w:t>
      </w:r>
    </w:p>
    <w:p w14:paraId="39E5B11A"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3BC7F86E"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Atentamente,</w:t>
      </w:r>
    </w:p>
    <w:p w14:paraId="01926078"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678B7A2A" w14:textId="77777777" w:rsidR="0063761F" w:rsidRPr="0063761F" w:rsidRDefault="0063761F" w:rsidP="0063761F">
      <w:pPr>
        <w:jc w:val="both"/>
        <w:outlineLvl w:val="0"/>
        <w:rPr>
          <w:rFonts w:ascii="Times New Roman" w:eastAsia="Times New Roman" w:hAnsi="Times New Roman" w:cs="Times New Roman"/>
          <w:b/>
          <w:bCs/>
          <w:kern w:val="36"/>
          <w:sz w:val="48"/>
          <w:szCs w:val="48"/>
          <w:lang w:val="es-CO" w:eastAsia="es-MX"/>
          <w14:ligatures w14:val="none"/>
        </w:rPr>
      </w:pPr>
      <w:r w:rsidRPr="0063761F">
        <w:rPr>
          <w:rFonts w:ascii="Verdana" w:eastAsia="Times New Roman" w:hAnsi="Verdana" w:cs="Times New Roman"/>
          <w:b/>
          <w:bCs/>
          <w:color w:val="000000"/>
          <w:kern w:val="36"/>
          <w:lang w:val="es-CO" w:eastAsia="es-MX"/>
          <w14:ligatures w14:val="none"/>
        </w:rPr>
        <w:t>INGRID CASTAÑEDA CEPEDA</w:t>
      </w:r>
    </w:p>
    <w:p w14:paraId="6CDA7B4B"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Subdirectora de Normativa y Doctrina (A) </w:t>
      </w:r>
    </w:p>
    <w:p w14:paraId="14B8CFFB"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Dirección de Gestión Jurídica</w:t>
      </w:r>
    </w:p>
    <w:p w14:paraId="110F7AAC"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U.A.E. Dirección de Impuestos y Aduanas Nacionales – DIAN </w:t>
      </w:r>
    </w:p>
    <w:p w14:paraId="19E1CB97"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 xml:space="preserve">Dirección: </w:t>
      </w:r>
      <w:proofErr w:type="spellStart"/>
      <w:r w:rsidRPr="0063761F">
        <w:rPr>
          <w:rFonts w:ascii="Verdana" w:eastAsia="Times New Roman" w:hAnsi="Verdana" w:cs="Times New Roman"/>
          <w:color w:val="000000"/>
          <w:kern w:val="0"/>
          <w:lang w:val="es-CO" w:eastAsia="es-MX"/>
          <w14:ligatures w14:val="none"/>
        </w:rPr>
        <w:t>Cra</w:t>
      </w:r>
      <w:proofErr w:type="spellEnd"/>
      <w:r w:rsidRPr="0063761F">
        <w:rPr>
          <w:rFonts w:ascii="Verdana" w:eastAsia="Times New Roman" w:hAnsi="Verdana" w:cs="Times New Roman"/>
          <w:color w:val="000000"/>
          <w:kern w:val="0"/>
          <w:lang w:val="es-CO" w:eastAsia="es-MX"/>
          <w14:ligatures w14:val="none"/>
        </w:rPr>
        <w:t>. 8 # 6C-38 Edificio San Agustín - Piso 4 </w:t>
      </w:r>
    </w:p>
    <w:p w14:paraId="064C0EB1"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r w:rsidRPr="0063761F">
        <w:rPr>
          <w:rFonts w:ascii="Verdana" w:eastAsia="Times New Roman" w:hAnsi="Verdana" w:cs="Times New Roman"/>
          <w:color w:val="000000"/>
          <w:kern w:val="0"/>
          <w:lang w:val="es-CO" w:eastAsia="es-MX"/>
          <w14:ligatures w14:val="none"/>
        </w:rPr>
        <w:t>Bogotá, D.C.</w:t>
      </w:r>
    </w:p>
    <w:p w14:paraId="2EDC3D92" w14:textId="77777777" w:rsidR="0063761F" w:rsidRPr="0063761F" w:rsidRDefault="0063761F" w:rsidP="0063761F">
      <w:pPr>
        <w:jc w:val="both"/>
        <w:rPr>
          <w:rFonts w:ascii="Times New Roman" w:eastAsia="Times New Roman" w:hAnsi="Times New Roman" w:cs="Times New Roman"/>
          <w:kern w:val="0"/>
          <w:lang w:val="es-CO" w:eastAsia="es-MX"/>
          <w14:ligatures w14:val="none"/>
        </w:rPr>
      </w:pPr>
      <w:hyperlink r:id="rId6" w:history="1">
        <w:r w:rsidRPr="0063761F">
          <w:rPr>
            <w:rFonts w:ascii="Verdana" w:eastAsia="Times New Roman" w:hAnsi="Verdana" w:cs="Times New Roman"/>
            <w:color w:val="000000"/>
            <w:kern w:val="0"/>
            <w:u w:val="single"/>
            <w:lang w:val="es-CO" w:eastAsia="es-MX"/>
            <w14:ligatures w14:val="none"/>
          </w:rPr>
          <w:t>www.dian.gov.co</w:t>
        </w:r>
      </w:hyperlink>
    </w:p>
    <w:p w14:paraId="5232D664" w14:textId="77777777" w:rsidR="0063761F" w:rsidRPr="0063761F" w:rsidRDefault="0063761F" w:rsidP="0063761F">
      <w:pPr>
        <w:rPr>
          <w:rFonts w:ascii="Times New Roman" w:eastAsia="Times New Roman" w:hAnsi="Times New Roman" w:cs="Times New Roman"/>
          <w:kern w:val="0"/>
          <w:lang w:val="es-CO" w:eastAsia="es-MX"/>
          <w14:ligatures w14:val="none"/>
        </w:rPr>
      </w:pPr>
    </w:p>
    <w:p w14:paraId="368FBAC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1645"/>
    <w:multiLevelType w:val="multilevel"/>
    <w:tmpl w:val="39C6C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B55362"/>
    <w:multiLevelType w:val="multilevel"/>
    <w:tmpl w:val="6096CFD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2C2F9D"/>
    <w:multiLevelType w:val="multilevel"/>
    <w:tmpl w:val="D188D47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315A51"/>
    <w:multiLevelType w:val="multilevel"/>
    <w:tmpl w:val="1CF2DDF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005475"/>
    <w:multiLevelType w:val="multilevel"/>
    <w:tmpl w:val="A3F2F0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8A6860"/>
    <w:multiLevelType w:val="multilevel"/>
    <w:tmpl w:val="FF68EE2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C86CB3"/>
    <w:multiLevelType w:val="multilevel"/>
    <w:tmpl w:val="DE0C29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D9104F"/>
    <w:multiLevelType w:val="multilevel"/>
    <w:tmpl w:val="BFEEA5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AD539F5"/>
    <w:multiLevelType w:val="multilevel"/>
    <w:tmpl w:val="7C1EFA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6261221">
    <w:abstractNumId w:val="0"/>
  </w:num>
  <w:num w:numId="2" w16cid:durableId="1910772830">
    <w:abstractNumId w:val="8"/>
    <w:lvlOverride w:ilvl="0">
      <w:lvl w:ilvl="0">
        <w:numFmt w:val="decimal"/>
        <w:lvlText w:val="%1."/>
        <w:lvlJc w:val="left"/>
      </w:lvl>
    </w:lvlOverride>
  </w:num>
  <w:num w:numId="3" w16cid:durableId="14767309">
    <w:abstractNumId w:val="6"/>
    <w:lvlOverride w:ilvl="0">
      <w:lvl w:ilvl="0">
        <w:numFmt w:val="decimal"/>
        <w:lvlText w:val="%1."/>
        <w:lvlJc w:val="left"/>
      </w:lvl>
    </w:lvlOverride>
  </w:num>
  <w:num w:numId="4" w16cid:durableId="1911884255">
    <w:abstractNumId w:val="7"/>
    <w:lvlOverride w:ilvl="0">
      <w:lvl w:ilvl="0">
        <w:numFmt w:val="decimal"/>
        <w:lvlText w:val="%1."/>
        <w:lvlJc w:val="left"/>
      </w:lvl>
    </w:lvlOverride>
  </w:num>
  <w:num w:numId="5" w16cid:durableId="667904279">
    <w:abstractNumId w:val="5"/>
    <w:lvlOverride w:ilvl="0">
      <w:lvl w:ilvl="0">
        <w:numFmt w:val="decimal"/>
        <w:lvlText w:val="%1."/>
        <w:lvlJc w:val="left"/>
      </w:lvl>
    </w:lvlOverride>
  </w:num>
  <w:num w:numId="6" w16cid:durableId="1185510270">
    <w:abstractNumId w:val="3"/>
    <w:lvlOverride w:ilvl="0">
      <w:lvl w:ilvl="0">
        <w:numFmt w:val="decimal"/>
        <w:lvlText w:val="%1."/>
        <w:lvlJc w:val="left"/>
      </w:lvl>
    </w:lvlOverride>
  </w:num>
  <w:num w:numId="7" w16cid:durableId="1896576057">
    <w:abstractNumId w:val="4"/>
    <w:lvlOverride w:ilvl="0">
      <w:lvl w:ilvl="0">
        <w:numFmt w:val="decimal"/>
        <w:lvlText w:val="%1."/>
        <w:lvlJc w:val="left"/>
      </w:lvl>
    </w:lvlOverride>
  </w:num>
  <w:num w:numId="8" w16cid:durableId="1535270691">
    <w:abstractNumId w:val="2"/>
    <w:lvlOverride w:ilvl="0">
      <w:lvl w:ilvl="0">
        <w:numFmt w:val="decimal"/>
        <w:lvlText w:val="%1."/>
        <w:lvlJc w:val="left"/>
      </w:lvl>
    </w:lvlOverride>
  </w:num>
  <w:num w:numId="9" w16cid:durableId="832574916">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61F"/>
    <w:rsid w:val="000B2285"/>
    <w:rsid w:val="00537D8F"/>
    <w:rsid w:val="0063761F"/>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8900A2D"/>
  <w14:defaultImageDpi w14:val="32767"/>
  <w15:chartTrackingRefBased/>
  <w15:docId w15:val="{02F570B0-5D51-624F-A7EF-AB2C8CE31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376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376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3761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3761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3761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3761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3761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3761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3761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3761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3761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3761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3761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3761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3761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3761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3761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3761F"/>
    <w:rPr>
      <w:rFonts w:eastAsiaTheme="majorEastAsia" w:cstheme="majorBidi"/>
      <w:color w:val="272727" w:themeColor="text1" w:themeTint="D8"/>
    </w:rPr>
  </w:style>
  <w:style w:type="paragraph" w:styleId="Ttulo">
    <w:name w:val="Title"/>
    <w:basedOn w:val="Normal"/>
    <w:next w:val="Normal"/>
    <w:link w:val="TtuloCar"/>
    <w:uiPriority w:val="10"/>
    <w:qFormat/>
    <w:rsid w:val="0063761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3761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3761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3761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3761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3761F"/>
    <w:rPr>
      <w:i/>
      <w:iCs/>
      <w:color w:val="404040" w:themeColor="text1" w:themeTint="BF"/>
    </w:rPr>
  </w:style>
  <w:style w:type="paragraph" w:styleId="Prrafodelista">
    <w:name w:val="List Paragraph"/>
    <w:basedOn w:val="Normal"/>
    <w:uiPriority w:val="34"/>
    <w:qFormat/>
    <w:rsid w:val="0063761F"/>
    <w:pPr>
      <w:ind w:left="720"/>
      <w:contextualSpacing/>
    </w:pPr>
  </w:style>
  <w:style w:type="character" w:styleId="nfasisintenso">
    <w:name w:val="Intense Emphasis"/>
    <w:basedOn w:val="Fuentedeprrafopredeter"/>
    <w:uiPriority w:val="21"/>
    <w:qFormat/>
    <w:rsid w:val="0063761F"/>
    <w:rPr>
      <w:i/>
      <w:iCs/>
      <w:color w:val="2F5496" w:themeColor="accent1" w:themeShade="BF"/>
    </w:rPr>
  </w:style>
  <w:style w:type="paragraph" w:styleId="Citadestacada">
    <w:name w:val="Intense Quote"/>
    <w:basedOn w:val="Normal"/>
    <w:next w:val="Normal"/>
    <w:link w:val="CitadestacadaCar"/>
    <w:uiPriority w:val="30"/>
    <w:qFormat/>
    <w:rsid w:val="006376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3761F"/>
    <w:rPr>
      <w:i/>
      <w:iCs/>
      <w:color w:val="2F5496" w:themeColor="accent1" w:themeShade="BF"/>
    </w:rPr>
  </w:style>
  <w:style w:type="character" w:styleId="Referenciaintensa">
    <w:name w:val="Intense Reference"/>
    <w:basedOn w:val="Fuentedeprrafopredeter"/>
    <w:uiPriority w:val="32"/>
    <w:qFormat/>
    <w:rsid w:val="0063761F"/>
    <w:rPr>
      <w:b/>
      <w:bCs/>
      <w:smallCaps/>
      <w:color w:val="2F5496" w:themeColor="accent1" w:themeShade="BF"/>
      <w:spacing w:val="5"/>
    </w:rPr>
  </w:style>
  <w:style w:type="paragraph" w:styleId="NormalWeb">
    <w:name w:val="Normal (Web)"/>
    <w:basedOn w:val="Normal"/>
    <w:uiPriority w:val="99"/>
    <w:semiHidden/>
    <w:unhideWhenUsed/>
    <w:rsid w:val="0063761F"/>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3761F"/>
  </w:style>
  <w:style w:type="character" w:styleId="Hipervnculo">
    <w:name w:val="Hyperlink"/>
    <w:basedOn w:val="Fuentedeprrafopredeter"/>
    <w:uiPriority w:val="99"/>
    <w:semiHidden/>
    <w:unhideWhenUsed/>
    <w:rsid w:val="006376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655</Words>
  <Characters>3605</Characters>
  <Application>Microsoft Office Word</Application>
  <DocSecurity>0</DocSecurity>
  <Lines>30</Lines>
  <Paragraphs>8</Paragraphs>
  <ScaleCrop>false</ScaleCrop>
  <Company/>
  <LinksUpToDate>false</LinksUpToDate>
  <CharactersWithSpaces>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2025-10-24T15:59:00Z</dcterms:created>
  <dcterms:modified xsi:type="dcterms:W3CDTF">2025-10-24T16:02:00Z</dcterms:modified>
</cp:coreProperties>
</file>