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BB7EAB"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b/>
          <w:bCs/>
          <w:color w:val="000000"/>
          <w:kern w:val="0"/>
          <w:lang w:val="es-CO" w:eastAsia="es-MX"/>
          <w14:ligatures w14:val="none"/>
        </w:rPr>
        <w:t>CONCEPTO 2025IE025564O1 DEL 23 DE OCTUBRE DE 2025</w:t>
      </w:r>
    </w:p>
    <w:p w14:paraId="0DF73972"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b/>
          <w:bCs/>
          <w:color w:val="000000"/>
          <w:kern w:val="0"/>
          <w:lang w:val="es-CO" w:eastAsia="es-MX"/>
          <w14:ligatures w14:val="none"/>
        </w:rPr>
        <w:t>SECRETARIA DISTRITAL DE HACIENDA</w:t>
      </w:r>
    </w:p>
    <w:p w14:paraId="60637D4A"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63CA6688"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Bogotá D.C.</w:t>
      </w:r>
    </w:p>
    <w:p w14:paraId="66CC69C3"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4B024F6E"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Doctor</w:t>
      </w:r>
    </w:p>
    <w:p w14:paraId="32AE16E3"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Luis Fernando Granados Rincón</w:t>
      </w:r>
    </w:p>
    <w:p w14:paraId="5BB0D9D4"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Director Distrital de Cobro</w:t>
      </w:r>
    </w:p>
    <w:p w14:paraId="2AA19247"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Secretaría Distrital de Hacienda</w:t>
      </w:r>
    </w:p>
    <w:p w14:paraId="137575BA"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Carrera 30 # 25 -90</w:t>
      </w:r>
    </w:p>
    <w:p w14:paraId="1C32226F"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hyperlink r:id="rId4" w:history="1">
        <w:r w:rsidRPr="00F557D0">
          <w:rPr>
            <w:rFonts w:ascii="Verdana" w:eastAsia="Times New Roman" w:hAnsi="Verdana" w:cs="Times New Roman"/>
            <w:color w:val="000000"/>
            <w:kern w:val="0"/>
            <w:u w:val="single"/>
            <w:lang w:val="es-CO" w:eastAsia="es-MX"/>
            <w14:ligatures w14:val="none"/>
          </w:rPr>
          <w:t>lgranados@shd.gov.co</w:t>
        </w:r>
      </w:hyperlink>
    </w:p>
    <w:p w14:paraId="4A5FC933"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NIT 899999061</w:t>
      </w:r>
    </w:p>
    <w:p w14:paraId="57B6914D"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Bogotá D.C.</w:t>
      </w:r>
    </w:p>
    <w:p w14:paraId="11F126C5"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6B690757" w14:textId="77777777" w:rsidR="00F557D0" w:rsidRPr="00F557D0" w:rsidRDefault="00F557D0" w:rsidP="00F557D0">
      <w:pPr>
        <w:jc w:val="both"/>
        <w:outlineLvl w:val="0"/>
        <w:rPr>
          <w:rFonts w:ascii="Times New Roman" w:eastAsia="Times New Roman" w:hAnsi="Times New Roman" w:cs="Times New Roman"/>
          <w:b/>
          <w:bCs/>
          <w:kern w:val="36"/>
          <w:sz w:val="48"/>
          <w:szCs w:val="48"/>
          <w:lang w:val="es-CO" w:eastAsia="es-MX"/>
          <w14:ligatures w14:val="none"/>
        </w:rPr>
      </w:pPr>
      <w:r w:rsidRPr="00F557D0">
        <w:rPr>
          <w:rFonts w:ascii="Verdana" w:eastAsia="Times New Roman" w:hAnsi="Verdana" w:cs="Times New Roman"/>
          <w:b/>
          <w:bCs/>
          <w:color w:val="000000"/>
          <w:kern w:val="36"/>
          <w:lang w:val="es-CO" w:eastAsia="es-MX"/>
          <w14:ligatures w14:val="none"/>
        </w:rPr>
        <w:t>CONCEPTO</w:t>
      </w:r>
    </w:p>
    <w:p w14:paraId="374B8227" w14:textId="77777777" w:rsidR="00F557D0" w:rsidRPr="00F557D0" w:rsidRDefault="00F557D0" w:rsidP="00F557D0">
      <w:pPr>
        <w:rPr>
          <w:rFonts w:ascii="Times New Roman" w:eastAsia="Times New Roman" w:hAnsi="Times New Roman" w:cs="Times New Roman"/>
          <w:kern w:val="0"/>
          <w:lang w:val="es-CO" w:eastAsia="es-MX"/>
          <w14:ligatures w14:val="none"/>
        </w:rPr>
      </w:pPr>
    </w:p>
    <w:tbl>
      <w:tblPr>
        <w:tblW w:w="0" w:type="auto"/>
        <w:tblCellMar>
          <w:top w:w="15" w:type="dxa"/>
          <w:left w:w="15" w:type="dxa"/>
          <w:bottom w:w="15" w:type="dxa"/>
          <w:right w:w="15" w:type="dxa"/>
        </w:tblCellMar>
        <w:tblLook w:val="04A0" w:firstRow="1" w:lastRow="0" w:firstColumn="1" w:lastColumn="0" w:noHBand="0" w:noVBand="1"/>
      </w:tblPr>
      <w:tblGrid>
        <w:gridCol w:w="1623"/>
        <w:gridCol w:w="7205"/>
      </w:tblGrid>
      <w:tr w:rsidR="00F557D0" w:rsidRPr="00F557D0" w14:paraId="1C4BD928" w14:textId="77777777">
        <w:trPr>
          <w:trHeight w:val="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6CCDB12"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sz w:val="22"/>
                <w:szCs w:val="22"/>
                <w:lang w:val="es-CO" w:eastAsia="es-MX"/>
                <w14:ligatures w14:val="none"/>
              </w:rPr>
              <w:t>Radicado Solicitud</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BFD37A0"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sz w:val="22"/>
                <w:szCs w:val="22"/>
                <w:lang w:val="es-CO" w:eastAsia="es-MX"/>
                <w14:ligatures w14:val="none"/>
              </w:rPr>
              <w:t>2025IE022089O1</w:t>
            </w:r>
          </w:p>
        </w:tc>
      </w:tr>
      <w:tr w:rsidR="00F557D0" w:rsidRPr="00F557D0" w14:paraId="0778DA01" w14:textId="77777777">
        <w:trPr>
          <w:trHeight w:val="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24D699D1"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sz w:val="22"/>
                <w:szCs w:val="22"/>
                <w:lang w:val="es-CO" w:eastAsia="es-MX"/>
                <w14:ligatures w14:val="none"/>
              </w:rPr>
              <w:t>Descriptor general</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57D7A8F0"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sz w:val="22"/>
                <w:szCs w:val="22"/>
                <w:lang w:val="es-CO" w:eastAsia="es-MX"/>
                <w14:ligatures w14:val="none"/>
              </w:rPr>
              <w:t>Cobro Coactivo</w:t>
            </w:r>
          </w:p>
        </w:tc>
      </w:tr>
      <w:tr w:rsidR="00F557D0" w:rsidRPr="00F557D0" w14:paraId="44BC035F" w14:textId="77777777">
        <w:trPr>
          <w:trHeight w:val="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42501189"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sz w:val="22"/>
                <w:szCs w:val="22"/>
                <w:lang w:val="es-CO" w:eastAsia="es-MX"/>
                <w14:ligatures w14:val="none"/>
              </w:rPr>
              <w:t>Descriptores especiales</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4BD7EF4"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sz w:val="22"/>
                <w:szCs w:val="22"/>
                <w:lang w:val="es-CO" w:eastAsia="es-MX"/>
                <w14:ligatures w14:val="none"/>
              </w:rPr>
              <w:t>Notificaciones de los actos administrativos expedidos en los procesos administrativo de cobro coactivo de obligaciones no tributarias.</w:t>
            </w:r>
          </w:p>
        </w:tc>
      </w:tr>
      <w:tr w:rsidR="00F557D0" w:rsidRPr="00F557D0" w14:paraId="3421CBED" w14:textId="77777777">
        <w:trPr>
          <w:trHeight w:val="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7BDA3E35"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sz w:val="22"/>
                <w:szCs w:val="22"/>
                <w:lang w:val="es-CO" w:eastAsia="es-MX"/>
                <w14:ligatures w14:val="none"/>
              </w:rPr>
              <w:t>Problema jurídico</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7E916A44"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sz w:val="22"/>
                <w:szCs w:val="22"/>
                <w:lang w:val="es-CO" w:eastAsia="es-MX"/>
                <w14:ligatures w14:val="none"/>
              </w:rPr>
              <w:t>¿Cuándo en el trámite de un proceso administrativo de cobro coactivo de obligaciones no tributarias se requiere la notificación de un acto administrativo al deudor y no ha sido posible establecer una dirección para dicho fin: ¿el acto administrativo debe notificarse mediante la publicación en la página web oficial de la SDH, en la forma prevista por el artículo 563 –inciso 3 - del Estatuto</w:t>
            </w:r>
          </w:p>
          <w:p w14:paraId="2BA6AC03"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sz w:val="22"/>
                <w:szCs w:val="22"/>
                <w:lang w:val="es-CO" w:eastAsia="es-MX"/>
                <w14:ligatures w14:val="none"/>
              </w:rPr>
              <w:t>Tributario Nacional, o mediante la publicación en periódico de circulación nacional como lo dispone el artículo 565 - inciso 5 - del mismo estatuto?</w:t>
            </w:r>
          </w:p>
        </w:tc>
      </w:tr>
      <w:tr w:rsidR="00F557D0" w:rsidRPr="00F557D0" w14:paraId="458D81C1" w14:textId="77777777">
        <w:trPr>
          <w:trHeight w:val="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0F991EF7"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sz w:val="22"/>
                <w:szCs w:val="22"/>
                <w:lang w:val="es-CO" w:eastAsia="es-MX"/>
                <w14:ligatures w14:val="none"/>
              </w:rPr>
              <w:t>Fuentes formales</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0045915F"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sz w:val="22"/>
                <w:szCs w:val="22"/>
                <w:lang w:val="es-CO" w:eastAsia="es-MX"/>
                <w14:ligatures w14:val="none"/>
              </w:rPr>
              <w:t>Estatuto Tributario Nacional.</w:t>
            </w:r>
          </w:p>
          <w:p w14:paraId="07E6A05D"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sz w:val="22"/>
                <w:szCs w:val="22"/>
                <w:lang w:val="es-CO" w:eastAsia="es-MX"/>
                <w14:ligatures w14:val="none"/>
              </w:rPr>
              <w:t>Código de Procedimiento Administrativo y de lo Contencioso Administrativo.</w:t>
            </w:r>
          </w:p>
          <w:p w14:paraId="35A2C1C4"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sz w:val="22"/>
                <w:szCs w:val="22"/>
                <w:lang w:val="es-CO" w:eastAsia="es-MX"/>
                <w14:ligatures w14:val="none"/>
              </w:rPr>
              <w:t>Leyes 153 de 1887, 1066 y 1111 de 2006, 1607 de 2012 y 2010 de 2019.</w:t>
            </w:r>
          </w:p>
          <w:p w14:paraId="3FF043FA"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sz w:val="22"/>
                <w:szCs w:val="22"/>
                <w:lang w:val="es-CO" w:eastAsia="es-MX"/>
                <w14:ligatures w14:val="none"/>
              </w:rPr>
              <w:t>Decretos-Leyes 19 de 2012 y 2106 de 2019.</w:t>
            </w:r>
          </w:p>
          <w:p w14:paraId="7F6C98D2"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sz w:val="22"/>
                <w:szCs w:val="22"/>
                <w:lang w:val="es-CO" w:eastAsia="es-MX"/>
                <w14:ligatures w14:val="none"/>
              </w:rPr>
              <w:t>Decreto Distrital 289 de 2021.</w:t>
            </w:r>
          </w:p>
          <w:p w14:paraId="042FA9AD"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sz w:val="22"/>
                <w:szCs w:val="22"/>
                <w:lang w:val="es-CO" w:eastAsia="es-MX"/>
                <w14:ligatures w14:val="none"/>
              </w:rPr>
              <w:t>Resolución SDH-000247 de 2022.</w:t>
            </w:r>
          </w:p>
          <w:p w14:paraId="338D0F37"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sz w:val="22"/>
                <w:szCs w:val="22"/>
                <w:lang w:val="es-CO" w:eastAsia="es-MX"/>
                <w14:ligatures w14:val="none"/>
              </w:rPr>
              <w:t>Jurisprudencia de la Corte Constitucional.</w:t>
            </w:r>
          </w:p>
        </w:tc>
      </w:tr>
    </w:tbl>
    <w:p w14:paraId="60B79B9C"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7ED988FC"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De conformidad con lo dispuesto en el literal b) del artículo 68 del Decreto Distrital 468 de 2025</w:t>
      </w:r>
      <w:r w:rsidRPr="00F557D0">
        <w:rPr>
          <w:rFonts w:ascii="Verdana" w:eastAsia="Times New Roman" w:hAnsi="Verdana" w:cs="Times New Roman"/>
          <w:color w:val="000000"/>
          <w:kern w:val="0"/>
          <w:sz w:val="14"/>
          <w:szCs w:val="14"/>
          <w:vertAlign w:val="superscript"/>
          <w:lang w:val="es-CO" w:eastAsia="es-MX"/>
          <w14:ligatures w14:val="none"/>
        </w:rPr>
        <w:t>1</w:t>
      </w:r>
      <w:r w:rsidRPr="00F557D0">
        <w:rPr>
          <w:rFonts w:ascii="Verdana" w:eastAsia="Times New Roman" w:hAnsi="Verdana" w:cs="Times New Roman"/>
          <w:color w:val="000000"/>
          <w:kern w:val="0"/>
          <w:lang w:val="es-CO" w:eastAsia="es-MX"/>
          <w14:ligatures w14:val="none"/>
        </w:rPr>
        <w:t>, es función de la Subdirección Jurídica de Hacienda de la Dirección Jurídica de la Secretaría Distrital de Hacienda, “[a]</w:t>
      </w:r>
      <w:proofErr w:type="spellStart"/>
      <w:r w:rsidRPr="00F557D0">
        <w:rPr>
          <w:rFonts w:ascii="Verdana" w:eastAsia="Times New Roman" w:hAnsi="Verdana" w:cs="Times New Roman"/>
          <w:i/>
          <w:iCs/>
          <w:color w:val="000000"/>
          <w:kern w:val="0"/>
          <w:lang w:val="es-CO" w:eastAsia="es-MX"/>
          <w14:ligatures w14:val="none"/>
        </w:rPr>
        <w:t>bsolver</w:t>
      </w:r>
      <w:proofErr w:type="spellEnd"/>
      <w:r w:rsidRPr="00F557D0">
        <w:rPr>
          <w:rFonts w:ascii="Verdana" w:eastAsia="Times New Roman" w:hAnsi="Verdana" w:cs="Times New Roman"/>
          <w:i/>
          <w:iCs/>
          <w:color w:val="000000"/>
          <w:kern w:val="0"/>
          <w:lang w:val="es-CO" w:eastAsia="es-MX"/>
          <w14:ligatures w14:val="none"/>
        </w:rPr>
        <w:t xml:space="preserve"> </w:t>
      </w:r>
      <w:r w:rsidRPr="00F557D0">
        <w:rPr>
          <w:rFonts w:ascii="Verdana" w:eastAsia="Times New Roman" w:hAnsi="Verdana" w:cs="Times New Roman"/>
          <w:i/>
          <w:iCs/>
          <w:color w:val="000000"/>
          <w:kern w:val="0"/>
          <w:lang w:val="es-CO" w:eastAsia="es-MX"/>
          <w14:ligatures w14:val="none"/>
        </w:rPr>
        <w:lastRenderedPageBreak/>
        <w:t>consultas, proyectar conceptos, estudios e investigaciones jurídicas y prestar asistencia jurídica en los asuntos encomendados por el Director Jurídico, relacionados con temáticas de tesorería, presupuesto, impuestos, cobro, contabilidad, administrativa, laboral, crédito público y en aquellas que correspondan a las actividades a cargo de la Subdirección</w:t>
      </w:r>
      <w:r w:rsidRPr="00F557D0">
        <w:rPr>
          <w:rFonts w:ascii="Verdana" w:eastAsia="Times New Roman" w:hAnsi="Verdana" w:cs="Times New Roman"/>
          <w:color w:val="000000"/>
          <w:kern w:val="0"/>
          <w:lang w:val="es-CO" w:eastAsia="es-MX"/>
          <w14:ligatures w14:val="none"/>
        </w:rPr>
        <w:t>”. Por lo tanto, en concordancia con las funciones previstas en los literales b) y d) del artículo 67 del decreto en mención, esta Dirección es competente para pronunciarse en el asunto objeto de la consulta.</w:t>
      </w:r>
    </w:p>
    <w:p w14:paraId="7A69192A"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2CF75692" w14:textId="77777777" w:rsidR="00F557D0" w:rsidRPr="00F557D0" w:rsidRDefault="00F557D0" w:rsidP="00F557D0">
      <w:pPr>
        <w:jc w:val="both"/>
        <w:outlineLvl w:val="0"/>
        <w:rPr>
          <w:rFonts w:ascii="Times New Roman" w:eastAsia="Times New Roman" w:hAnsi="Times New Roman" w:cs="Times New Roman"/>
          <w:b/>
          <w:bCs/>
          <w:kern w:val="36"/>
          <w:sz w:val="48"/>
          <w:szCs w:val="48"/>
          <w:lang w:val="es-CO" w:eastAsia="es-MX"/>
          <w14:ligatures w14:val="none"/>
        </w:rPr>
      </w:pPr>
      <w:r w:rsidRPr="00F557D0">
        <w:rPr>
          <w:rFonts w:ascii="Verdana" w:eastAsia="Times New Roman" w:hAnsi="Verdana" w:cs="Times New Roman"/>
          <w:b/>
          <w:bCs/>
          <w:color w:val="000000"/>
          <w:kern w:val="36"/>
          <w:lang w:val="es-CO" w:eastAsia="es-MX"/>
          <w14:ligatures w14:val="none"/>
        </w:rPr>
        <w:t>IDENTIFICACIÓN DE LA CONSULTA</w:t>
      </w:r>
      <w:r w:rsidRPr="00F557D0">
        <w:rPr>
          <w:rFonts w:ascii="Verdana" w:eastAsia="Times New Roman" w:hAnsi="Verdana" w:cs="Times New Roman"/>
          <w:color w:val="000000"/>
          <w:kern w:val="36"/>
          <w:lang w:val="es-CO" w:eastAsia="es-MX"/>
          <w14:ligatures w14:val="none"/>
        </w:rPr>
        <w:t>:</w:t>
      </w:r>
    </w:p>
    <w:p w14:paraId="27C0F1B0"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3004ADD4"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El Director Distrital de Cobro de la Secretaría Distrital de Hacienda (SDH), elevó solicitud de concepto jurídico ante esta Dirección a través del radicado 2025IE022089O1 del 11 de septiembre de 2025, con el fin de obtener respuesta al siguiente interrogante:</w:t>
      </w:r>
    </w:p>
    <w:p w14:paraId="3E8D5D08"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5036CC87" w14:textId="77777777" w:rsidR="00F557D0" w:rsidRPr="00F557D0" w:rsidRDefault="00F557D0" w:rsidP="00F557D0">
      <w:pPr>
        <w:ind w:left="567"/>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i/>
          <w:iCs/>
          <w:color w:val="000000"/>
          <w:kern w:val="0"/>
          <w:lang w:val="es-CO" w:eastAsia="es-MX"/>
          <w14:ligatures w14:val="none"/>
        </w:rPr>
        <w:t>“1. Cuando en trámite de un proceso administrativo de cobro coactivo de obligaciones no tributarias se requiere la notificación de un acto administrativo al deudor y no ha sido posible establecer una dirección para dicho fin: ¿el acto administrativo debe notificarse mediante la publicación en la página web oficial de la SDH, en la forma prevista por el artículo 563 –inciso 3 - del Estatuto Tributario Nacional, o mediante la publicación en periódico de circulación nacional como lo dispone el artículo 565 - inciso 5 - del mismo estatuto”</w:t>
      </w:r>
    </w:p>
    <w:p w14:paraId="615141F7"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055C824A"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Lo anterior en razón a que en opinión de la dirección consultante, el concepto expedido por esta Dirección Jurídica a través del radicado 2023IE036848O1 del día 04 de diciembre de 2023, no analizó de forma integral lo establecido en el artículo 563 del Estatuto Tributario Nacional (ETN), norma que fue modificada por el artículo 59 del Decreto-Ley 19 de 2012, y que amplió las posibilidades de notificación en caso de inexistencia de dirección informada, por lo cual considera indispensable armonizar los artículos 563, 565 y 568 del ETN, a fin de establecer un criterio uniforme.</w:t>
      </w:r>
    </w:p>
    <w:p w14:paraId="48FF1764"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7D312E3E" w14:textId="77777777" w:rsidR="00F557D0" w:rsidRPr="00F557D0" w:rsidRDefault="00F557D0" w:rsidP="00F557D0">
      <w:pPr>
        <w:jc w:val="both"/>
        <w:outlineLvl w:val="0"/>
        <w:rPr>
          <w:rFonts w:ascii="Times New Roman" w:eastAsia="Times New Roman" w:hAnsi="Times New Roman" w:cs="Times New Roman"/>
          <w:b/>
          <w:bCs/>
          <w:kern w:val="36"/>
          <w:sz w:val="48"/>
          <w:szCs w:val="48"/>
          <w:lang w:val="es-CO" w:eastAsia="es-MX"/>
          <w14:ligatures w14:val="none"/>
        </w:rPr>
      </w:pPr>
      <w:r w:rsidRPr="00F557D0">
        <w:rPr>
          <w:rFonts w:ascii="Verdana" w:eastAsia="Times New Roman" w:hAnsi="Verdana" w:cs="Times New Roman"/>
          <w:b/>
          <w:bCs/>
          <w:color w:val="000000"/>
          <w:kern w:val="36"/>
          <w:lang w:val="es-CO" w:eastAsia="es-MX"/>
          <w14:ligatures w14:val="none"/>
        </w:rPr>
        <w:t>1. CONSIDERACIONES</w:t>
      </w:r>
    </w:p>
    <w:p w14:paraId="62C7F556"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2C1BC4FA"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Para efectos de dar respuesta a la consulta se abordarán los siguientes aspectos: (i) el concepto jurídico 2023IE036848O1 del día 04 de diciembre de 2023; (</w:t>
      </w:r>
      <w:proofErr w:type="spellStart"/>
      <w:r w:rsidRPr="00F557D0">
        <w:rPr>
          <w:rFonts w:ascii="Verdana" w:eastAsia="Times New Roman" w:hAnsi="Verdana" w:cs="Times New Roman"/>
          <w:color w:val="000000"/>
          <w:kern w:val="0"/>
          <w:lang w:val="es-CO" w:eastAsia="es-MX"/>
          <w14:ligatures w14:val="none"/>
        </w:rPr>
        <w:t>ii</w:t>
      </w:r>
      <w:proofErr w:type="spellEnd"/>
      <w:r w:rsidRPr="00F557D0">
        <w:rPr>
          <w:rFonts w:ascii="Verdana" w:eastAsia="Times New Roman" w:hAnsi="Verdana" w:cs="Times New Roman"/>
          <w:color w:val="000000"/>
          <w:kern w:val="0"/>
          <w:lang w:val="es-CO" w:eastAsia="es-MX"/>
          <w14:ligatures w14:val="none"/>
        </w:rPr>
        <w:t>) las formas de notificación en el Estatuto Tributario Nacional; (</w:t>
      </w:r>
      <w:proofErr w:type="spellStart"/>
      <w:r w:rsidRPr="00F557D0">
        <w:rPr>
          <w:rFonts w:ascii="Verdana" w:eastAsia="Times New Roman" w:hAnsi="Verdana" w:cs="Times New Roman"/>
          <w:color w:val="000000"/>
          <w:kern w:val="0"/>
          <w:lang w:val="es-CO" w:eastAsia="es-MX"/>
          <w14:ligatures w14:val="none"/>
        </w:rPr>
        <w:t>iii</w:t>
      </w:r>
      <w:proofErr w:type="spellEnd"/>
      <w:r w:rsidRPr="00F557D0">
        <w:rPr>
          <w:rFonts w:ascii="Verdana" w:eastAsia="Times New Roman" w:hAnsi="Verdana" w:cs="Times New Roman"/>
          <w:color w:val="000000"/>
          <w:kern w:val="0"/>
          <w:lang w:val="es-CO" w:eastAsia="es-MX"/>
          <w14:ligatures w14:val="none"/>
        </w:rPr>
        <w:t xml:space="preserve">) la contradicción legal existente entre el inciso tercero del </w:t>
      </w:r>
      <w:r w:rsidRPr="00F557D0">
        <w:rPr>
          <w:rFonts w:ascii="Verdana" w:eastAsia="Times New Roman" w:hAnsi="Verdana" w:cs="Times New Roman"/>
          <w:color w:val="000000"/>
          <w:kern w:val="0"/>
          <w:lang w:val="es-CO" w:eastAsia="es-MX"/>
          <w14:ligatures w14:val="none"/>
        </w:rPr>
        <w:lastRenderedPageBreak/>
        <w:t>artículo 563 y el inciso quinto del artículo 565 del Estatuto Tributario Nacional; y (</w:t>
      </w:r>
      <w:proofErr w:type="spellStart"/>
      <w:r w:rsidRPr="00F557D0">
        <w:rPr>
          <w:rFonts w:ascii="Verdana" w:eastAsia="Times New Roman" w:hAnsi="Verdana" w:cs="Times New Roman"/>
          <w:color w:val="000000"/>
          <w:kern w:val="0"/>
          <w:lang w:val="es-CO" w:eastAsia="es-MX"/>
          <w14:ligatures w14:val="none"/>
        </w:rPr>
        <w:t>iv</w:t>
      </w:r>
      <w:proofErr w:type="spellEnd"/>
      <w:r w:rsidRPr="00F557D0">
        <w:rPr>
          <w:rFonts w:ascii="Verdana" w:eastAsia="Times New Roman" w:hAnsi="Verdana" w:cs="Times New Roman"/>
          <w:color w:val="000000"/>
          <w:kern w:val="0"/>
          <w:lang w:val="es-CO" w:eastAsia="es-MX"/>
          <w14:ligatures w14:val="none"/>
        </w:rPr>
        <w:t>) conclusiones.</w:t>
      </w:r>
    </w:p>
    <w:p w14:paraId="40607167"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4EEB5A4D" w14:textId="77777777" w:rsidR="00F557D0" w:rsidRPr="00F557D0" w:rsidRDefault="00F557D0" w:rsidP="00F557D0">
      <w:pPr>
        <w:jc w:val="both"/>
        <w:outlineLvl w:val="1"/>
        <w:rPr>
          <w:rFonts w:ascii="Times New Roman" w:eastAsia="Times New Roman" w:hAnsi="Times New Roman" w:cs="Times New Roman"/>
          <w:b/>
          <w:bCs/>
          <w:kern w:val="0"/>
          <w:sz w:val="36"/>
          <w:szCs w:val="36"/>
          <w:lang w:val="es-CO" w:eastAsia="es-MX"/>
          <w14:ligatures w14:val="none"/>
        </w:rPr>
      </w:pPr>
      <w:r w:rsidRPr="00F557D0">
        <w:rPr>
          <w:rFonts w:ascii="Verdana" w:eastAsia="Times New Roman" w:hAnsi="Verdana" w:cs="Times New Roman"/>
          <w:b/>
          <w:bCs/>
          <w:color w:val="000000"/>
          <w:kern w:val="0"/>
          <w:lang w:val="es-CO" w:eastAsia="es-MX"/>
          <w14:ligatures w14:val="none"/>
        </w:rPr>
        <w:t>1. El concepto jurídico 2023IE036848O1 del día 04 de diciembre de 2023</w:t>
      </w:r>
    </w:p>
    <w:p w14:paraId="35F42CAA"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736256CA"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La Dirección Jurídica de la SDH mediante concepto jurídico con radicado 2023IE036848O1 del día 04 de diciembre de 2023, se pronunció con ocasión de la solicitud efectuada por la Dirección Distrital de Cobro de la SDH, en el sentido de indicar si en el marco de la notificación de las actuaciones generadas por la Oficina de Gestión de Cobro, en particular de aquellos actos administrativos que son devueltos por el servicio de mensajería especializada, es viable implementar o no la notificación por aviso en el portal web de la entidad, reemplazando la notificación por aviso mediante la publicación en un diario de alta circulación, entre otros aspectos derivados de esta cuestión.</w:t>
      </w:r>
    </w:p>
    <w:p w14:paraId="1EA865D7"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3D57B682"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Inicialmente, el concepto referido se encargó de analizar de forma exhaustiva el contenido de los artículos 565 y 568 del Estatuto Tributario Nacional (ETN)</w:t>
      </w:r>
      <w:r w:rsidRPr="00F557D0">
        <w:rPr>
          <w:rFonts w:ascii="Verdana" w:eastAsia="Times New Roman" w:hAnsi="Verdana" w:cs="Times New Roman"/>
          <w:color w:val="000000"/>
          <w:kern w:val="0"/>
          <w:sz w:val="14"/>
          <w:szCs w:val="14"/>
          <w:vertAlign w:val="superscript"/>
          <w:lang w:val="es-CO" w:eastAsia="es-MX"/>
          <w14:ligatures w14:val="none"/>
        </w:rPr>
        <w:t>2</w:t>
      </w:r>
      <w:r w:rsidRPr="00F557D0">
        <w:rPr>
          <w:rFonts w:ascii="Verdana" w:eastAsia="Times New Roman" w:hAnsi="Verdana" w:cs="Times New Roman"/>
          <w:color w:val="000000"/>
          <w:kern w:val="0"/>
          <w:lang w:val="es-CO" w:eastAsia="es-MX"/>
          <w14:ligatures w14:val="none"/>
        </w:rPr>
        <w:t>, así como el artículo 69 de la Ley 1437 de 2011, Código de Procedimiento Administrativo y de lo Contencioso Administrativo (CPACA), para concluir que cuando las notificaciones son devueltas por el correo por cualquier causa, es procedente que la notificación se surta por aviso de la página web de la entidad, conforme a lo señalado por el artículo 568 del ETN.</w:t>
      </w:r>
    </w:p>
    <w:p w14:paraId="6901650D"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758E9D07"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Sin embargo, el concepto determinó que la notificación por aviso no reemplaza la notificación prevista en el artículo 565 del ETN, en específico, aquella alusiva a la publicación en un periódico de circulación nacional, por cuanto esta obedece a causas diferentes a la devolución de correo, como es el no suministro de la dirección por parte del contribuyente, responsable, agente retenedor o declarante.</w:t>
      </w:r>
    </w:p>
    <w:p w14:paraId="7B2B18AA"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3F5E2D04"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En esa línea argumentativa, el concepto estableció que la notificación por aviso en un diario de alta circulación sí es válida para la situación establecida en el artículo 565 del ETN, de manera que si se trata de notificar un acto que se ha producido en el proceso de cobro en el cual el deudor no ha informado la dirección de notificación, este será válido y oponible a los deudores; en este caso, el aviso de notificación debe mantenerse publicado en el portal web de la entidad durante el término de cinco (5) días, de conformidad con lo ordenado por el artículo 69 del CPCA.</w:t>
      </w:r>
    </w:p>
    <w:p w14:paraId="1AF1C4A7"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4811F81C"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lastRenderedPageBreak/>
        <w:t>Finalmente, el concepto precisó que la información de la notificación por aviso en el portal web de la entidad, debe contener transcripción de la parte resolutiva del acto administrativo que incluya mecanismos de búsqueda por número identificación personal y, en todo caso, en un lugar de acceso al público de la misma entidad. También consideró que con el fin de garantizar los principios de publicidad y del debido proceso, las dependencias que realizan la gestión de cobro no coactivo deben evaluar e implementar los procedimientos a que haya lugar, incluyendo los ajustes correspondientes a los manuales de funciones de las dependencias que realizan el cobro de las obligaciones no tributarias en la SDH.</w:t>
      </w:r>
    </w:p>
    <w:p w14:paraId="746821E9"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59E9DC62" w14:textId="77777777" w:rsidR="00F557D0" w:rsidRPr="00F557D0" w:rsidRDefault="00F557D0" w:rsidP="00F557D0">
      <w:pPr>
        <w:jc w:val="both"/>
        <w:outlineLvl w:val="1"/>
        <w:rPr>
          <w:rFonts w:ascii="Times New Roman" w:eastAsia="Times New Roman" w:hAnsi="Times New Roman" w:cs="Times New Roman"/>
          <w:b/>
          <w:bCs/>
          <w:kern w:val="0"/>
          <w:sz w:val="36"/>
          <w:szCs w:val="36"/>
          <w:lang w:val="es-CO" w:eastAsia="es-MX"/>
          <w14:ligatures w14:val="none"/>
        </w:rPr>
      </w:pPr>
      <w:r w:rsidRPr="00F557D0">
        <w:rPr>
          <w:rFonts w:ascii="Verdana" w:eastAsia="Times New Roman" w:hAnsi="Verdana" w:cs="Times New Roman"/>
          <w:b/>
          <w:bCs/>
          <w:color w:val="000000"/>
          <w:kern w:val="0"/>
          <w:lang w:val="es-CO" w:eastAsia="es-MX"/>
          <w14:ligatures w14:val="none"/>
        </w:rPr>
        <w:t>2. Las formas de notificación en el Estatuto Tributario Nacional (ETN)</w:t>
      </w:r>
    </w:p>
    <w:p w14:paraId="7BB8754A"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6E7881FB"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El artículo 563 del ETN establece lo siguiente:</w:t>
      </w:r>
    </w:p>
    <w:p w14:paraId="201F5BD1"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6E122E79" w14:textId="77777777" w:rsidR="00F557D0" w:rsidRPr="00F557D0" w:rsidRDefault="00F557D0" w:rsidP="00F557D0">
      <w:pPr>
        <w:ind w:left="567"/>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i/>
          <w:iCs/>
          <w:color w:val="000000"/>
          <w:kern w:val="0"/>
          <w:lang w:val="es-CO" w:eastAsia="es-MX"/>
          <w14:ligatures w14:val="none"/>
        </w:rPr>
        <w:t>“</w:t>
      </w:r>
      <w:r w:rsidRPr="00F557D0">
        <w:rPr>
          <w:rFonts w:ascii="Verdana" w:eastAsia="Times New Roman" w:hAnsi="Verdana" w:cs="Times New Roman"/>
          <w:b/>
          <w:bCs/>
          <w:i/>
          <w:iCs/>
          <w:color w:val="000000"/>
          <w:kern w:val="0"/>
          <w:lang w:val="es-CO" w:eastAsia="es-MX"/>
          <w14:ligatures w14:val="none"/>
        </w:rPr>
        <w:t xml:space="preserve">ARTICULO 563. DIRECCIÓN PARA NOTIFICACIONES. </w:t>
      </w:r>
      <w:r w:rsidRPr="00F557D0">
        <w:rPr>
          <w:rFonts w:ascii="Verdana" w:eastAsia="Times New Roman" w:hAnsi="Verdana" w:cs="Times New Roman"/>
          <w:i/>
          <w:iCs/>
          <w:color w:val="000000"/>
          <w:kern w:val="0"/>
          <w:lang w:val="es-CO" w:eastAsia="es-MX"/>
          <w14:ligatures w14:val="none"/>
        </w:rPr>
        <w:t>&lt;Artículo modificado por el artículo 59 del Decreto 19 de 2012. El nuevo texto es el siguiente:&gt; La notificación de las actuaciones de la Administración Tributaria deberá efectuarse a la dirección informada por el contribuyente, responsable, agente retenedor o declarante, en su última declaración de renta o de ingresos y patrimonio, según el caso, o mediante formato oficial de cambio de dirección; la antigua dirección continuará siendo válida durante los tres (3) meses siguientes, sin perjuicio de la validez de la nueva dirección informada.</w:t>
      </w:r>
    </w:p>
    <w:p w14:paraId="4A8DD816"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3EA78EB2" w14:textId="77777777" w:rsidR="00F557D0" w:rsidRPr="00F557D0" w:rsidRDefault="00F557D0" w:rsidP="00F557D0">
      <w:pPr>
        <w:ind w:left="567"/>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i/>
          <w:iCs/>
          <w:color w:val="000000"/>
          <w:kern w:val="0"/>
          <w:lang w:val="es-CO" w:eastAsia="es-MX"/>
          <w14:ligatures w14:val="none"/>
        </w:rPr>
        <w:t>Cuando el contribuyente, responsable, agente retenedor o declarante no hubiere informado una dirección a la Administración de Impuestos, la actuación administrativa correspondiente se podrá notificar a la que establezca la Administración mediante verificación directa o mediante la utilización de guías telefónicas, directorios y en general de información oficial, comercial o bancaria.</w:t>
      </w:r>
    </w:p>
    <w:p w14:paraId="3D1A202D"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2E512C33" w14:textId="77777777" w:rsidR="00F557D0" w:rsidRPr="00F557D0" w:rsidRDefault="00F557D0" w:rsidP="00F557D0">
      <w:pPr>
        <w:ind w:left="567"/>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b/>
          <w:bCs/>
          <w:i/>
          <w:iCs/>
          <w:color w:val="000000"/>
          <w:kern w:val="0"/>
          <w:u w:val="single"/>
          <w:lang w:val="es-CO" w:eastAsia="es-MX"/>
          <w14:ligatures w14:val="none"/>
        </w:rPr>
        <w:t>Cuando no haya sido posible establecer la dirección del contribuyente, responsable, agente</w:t>
      </w:r>
      <w:r w:rsidRPr="00F557D0">
        <w:rPr>
          <w:rFonts w:ascii="Verdana" w:eastAsia="Times New Roman" w:hAnsi="Verdana" w:cs="Times New Roman"/>
          <w:b/>
          <w:bCs/>
          <w:i/>
          <w:iCs/>
          <w:color w:val="000000"/>
          <w:kern w:val="0"/>
          <w:lang w:val="es-CO" w:eastAsia="es-MX"/>
          <w14:ligatures w14:val="none"/>
        </w:rPr>
        <w:t xml:space="preserve"> </w:t>
      </w:r>
      <w:r w:rsidRPr="00F557D0">
        <w:rPr>
          <w:rFonts w:ascii="Verdana" w:eastAsia="Times New Roman" w:hAnsi="Verdana" w:cs="Times New Roman"/>
          <w:b/>
          <w:bCs/>
          <w:i/>
          <w:iCs/>
          <w:color w:val="000000"/>
          <w:kern w:val="0"/>
          <w:u w:val="single"/>
          <w:lang w:val="es-CO" w:eastAsia="es-MX"/>
          <w14:ligatures w14:val="none"/>
        </w:rPr>
        <w:t>retenedor, o declarante, por ninguno de los medios señalados en el inciso anterior, los actos</w:t>
      </w:r>
      <w:r w:rsidRPr="00F557D0">
        <w:rPr>
          <w:rFonts w:ascii="Verdana" w:eastAsia="Times New Roman" w:hAnsi="Verdana" w:cs="Times New Roman"/>
          <w:b/>
          <w:bCs/>
          <w:i/>
          <w:iCs/>
          <w:color w:val="000000"/>
          <w:kern w:val="0"/>
          <w:lang w:val="es-CO" w:eastAsia="es-MX"/>
          <w14:ligatures w14:val="none"/>
        </w:rPr>
        <w:t xml:space="preserve"> </w:t>
      </w:r>
      <w:r w:rsidRPr="00F557D0">
        <w:rPr>
          <w:rFonts w:ascii="Verdana" w:eastAsia="Times New Roman" w:hAnsi="Verdana" w:cs="Times New Roman"/>
          <w:b/>
          <w:bCs/>
          <w:i/>
          <w:iCs/>
          <w:color w:val="000000"/>
          <w:kern w:val="0"/>
          <w:u w:val="single"/>
          <w:lang w:val="es-CO" w:eastAsia="es-MX"/>
          <w14:ligatures w14:val="none"/>
        </w:rPr>
        <w:t>de la Administración le serán notificados por medio de la publicación en el portal de la web</w:t>
      </w:r>
      <w:r w:rsidRPr="00F557D0">
        <w:rPr>
          <w:rFonts w:ascii="Verdana" w:eastAsia="Times New Roman" w:hAnsi="Verdana" w:cs="Times New Roman"/>
          <w:b/>
          <w:bCs/>
          <w:i/>
          <w:iCs/>
          <w:color w:val="000000"/>
          <w:kern w:val="0"/>
          <w:lang w:val="es-CO" w:eastAsia="es-MX"/>
          <w14:ligatures w14:val="none"/>
        </w:rPr>
        <w:t xml:space="preserve"> </w:t>
      </w:r>
      <w:r w:rsidRPr="00F557D0">
        <w:rPr>
          <w:rFonts w:ascii="Verdana" w:eastAsia="Times New Roman" w:hAnsi="Verdana" w:cs="Times New Roman"/>
          <w:b/>
          <w:bCs/>
          <w:i/>
          <w:iCs/>
          <w:color w:val="000000"/>
          <w:kern w:val="0"/>
          <w:u w:val="single"/>
          <w:lang w:val="es-CO" w:eastAsia="es-MX"/>
          <w14:ligatures w14:val="none"/>
        </w:rPr>
        <w:t>de la DIAN, que deberá incluir mecanismos de búsqueda por número identificación</w:t>
      </w:r>
      <w:r w:rsidRPr="00F557D0">
        <w:rPr>
          <w:rFonts w:ascii="Verdana" w:eastAsia="Times New Roman" w:hAnsi="Verdana" w:cs="Times New Roman"/>
          <w:b/>
          <w:bCs/>
          <w:i/>
          <w:iCs/>
          <w:color w:val="000000"/>
          <w:kern w:val="0"/>
          <w:lang w:val="es-CO" w:eastAsia="es-MX"/>
          <w14:ligatures w14:val="none"/>
        </w:rPr>
        <w:t xml:space="preserve"> </w:t>
      </w:r>
      <w:r w:rsidRPr="00F557D0">
        <w:rPr>
          <w:rFonts w:ascii="Verdana" w:eastAsia="Times New Roman" w:hAnsi="Verdana" w:cs="Times New Roman"/>
          <w:b/>
          <w:bCs/>
          <w:i/>
          <w:iCs/>
          <w:color w:val="000000"/>
          <w:kern w:val="0"/>
          <w:u w:val="single"/>
          <w:lang w:val="es-CO" w:eastAsia="es-MX"/>
          <w14:ligatures w14:val="none"/>
        </w:rPr>
        <w:t>personal.</w:t>
      </w:r>
    </w:p>
    <w:p w14:paraId="7B196FCC"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19E2EC0F" w14:textId="77777777" w:rsidR="00F557D0" w:rsidRPr="00F557D0" w:rsidRDefault="00F557D0" w:rsidP="00F557D0">
      <w:pPr>
        <w:ind w:left="567"/>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i/>
          <w:iCs/>
          <w:color w:val="000000"/>
          <w:kern w:val="0"/>
          <w:lang w:val="es-CO" w:eastAsia="es-MX"/>
          <w14:ligatures w14:val="none"/>
        </w:rPr>
        <w:t xml:space="preserve">&lt;Inciso modificado por el artículo 103 de la Ley 2010 de 2019. El nuevo texto es el siguiente:&gt; Cuando el contribuyente, responsable, </w:t>
      </w:r>
      <w:r w:rsidRPr="00F557D0">
        <w:rPr>
          <w:rFonts w:ascii="Verdana" w:eastAsia="Times New Roman" w:hAnsi="Verdana" w:cs="Times New Roman"/>
          <w:i/>
          <w:iCs/>
          <w:color w:val="000000"/>
          <w:kern w:val="0"/>
          <w:lang w:val="es-CO" w:eastAsia="es-MX"/>
          <w14:ligatures w14:val="none"/>
        </w:rPr>
        <w:lastRenderedPageBreak/>
        <w:t>agente retenedor y/o declarante informe a la Dirección de Impuestos y Aduanas Nacionales (DIAN) a través del Registro Único Tributario (RUT) una dirección de correo electrónico, todos los actos administrativos le serán notificados a la misma. La notificación por medios electrónicos será el mecanismo preferente de notificación de los actos de la Dirección de Impuestos y Aduanas Nacionales (DIAN).</w:t>
      </w:r>
    </w:p>
    <w:p w14:paraId="3186B42C"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17BAC2B8" w14:textId="77777777" w:rsidR="00F557D0" w:rsidRPr="00F557D0" w:rsidRDefault="00F557D0" w:rsidP="00F557D0">
      <w:pPr>
        <w:ind w:left="567"/>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b/>
          <w:bCs/>
          <w:i/>
          <w:iCs/>
          <w:color w:val="000000"/>
          <w:kern w:val="0"/>
          <w:lang w:val="es-CO" w:eastAsia="es-MX"/>
          <w14:ligatures w14:val="none"/>
        </w:rPr>
        <w:t xml:space="preserve">PARÁGRAFO. </w:t>
      </w:r>
      <w:r w:rsidRPr="00F557D0">
        <w:rPr>
          <w:rFonts w:ascii="Verdana" w:eastAsia="Times New Roman" w:hAnsi="Verdana" w:cs="Times New Roman"/>
          <w:i/>
          <w:iCs/>
          <w:color w:val="000000"/>
          <w:kern w:val="0"/>
          <w:lang w:val="es-CO" w:eastAsia="es-MX"/>
          <w14:ligatures w14:val="none"/>
        </w:rPr>
        <w:t xml:space="preserve">&lt;Parágrafo modificado por el artículo 103 de la Ley 2010 de 2019. El nuevo texto es el siguiente:&gt; Lo dispuesto en este artículo aplica para la notificación de los actos administrativos expedidos por la Unidad de Gestión Pensional y Parafiscales (UGPP) y será el mecanismo preferente de notificación.” </w:t>
      </w:r>
      <w:r w:rsidRPr="00F557D0">
        <w:rPr>
          <w:rFonts w:ascii="Verdana" w:eastAsia="Times New Roman" w:hAnsi="Verdana" w:cs="Times New Roman"/>
          <w:color w:val="000000"/>
          <w:kern w:val="0"/>
          <w:lang w:val="es-CO" w:eastAsia="es-MX"/>
          <w14:ligatures w14:val="none"/>
        </w:rPr>
        <w:t>(Subraya y negrillas ajenas al texto original)</w:t>
      </w:r>
    </w:p>
    <w:p w14:paraId="72CCD24D"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36ACBC6C"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De este modo, la norma en comento define que por regla general las actuaciones de la Administración Tributaria deberán efectuarse a la dirección informada por el contribuyente, responsable, agente retenedor o declarante, en su última declaración de renta o de ingresos y patrimonio, según sea el caso. Subsecuentemente, se puede surtir la notificación mediante la verificación directa o mediante la utilización de guías telefónicas, directorios y en general de información oficial, comercial o bancaria. Agotado lo anterior, es posible notificar por medio de la publicación en el portal de la web de la DIAN, que deberá incluir mecanismos de búsqueda por número identificación personal.</w:t>
      </w:r>
    </w:p>
    <w:p w14:paraId="1BC55D05"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7D8E3DDD"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Adicionalmente, la norma contempla que si el contribuyente, responsable, agente retenedor y/o declarante ha informado a la DIAN a través del Registro Único Tributario (RUT) una dirección de correo electrónico, todos los actos administrativos le serán notificados a la misma, teniendo la notificación por medios electrónicos como el mecanismo preferente para estos fines.</w:t>
      </w:r>
    </w:p>
    <w:p w14:paraId="54E83833"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6BC0F289"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De otro lado, se tiene que el artículo 565 del ETN determina que:</w:t>
      </w:r>
    </w:p>
    <w:p w14:paraId="64257531"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0C0DC992" w14:textId="77777777" w:rsidR="00F557D0" w:rsidRPr="00F557D0" w:rsidRDefault="00F557D0" w:rsidP="00F557D0">
      <w:pPr>
        <w:ind w:left="567"/>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i/>
          <w:iCs/>
          <w:color w:val="000000"/>
          <w:kern w:val="0"/>
          <w:lang w:val="es-CO" w:eastAsia="es-MX"/>
          <w14:ligatures w14:val="none"/>
        </w:rPr>
        <w:t>“</w:t>
      </w:r>
      <w:r w:rsidRPr="00F557D0">
        <w:rPr>
          <w:rFonts w:ascii="Verdana" w:eastAsia="Times New Roman" w:hAnsi="Verdana" w:cs="Times New Roman"/>
          <w:b/>
          <w:bCs/>
          <w:i/>
          <w:iCs/>
          <w:color w:val="000000"/>
          <w:kern w:val="0"/>
          <w:lang w:val="es-CO" w:eastAsia="es-MX"/>
          <w14:ligatures w14:val="none"/>
        </w:rPr>
        <w:t xml:space="preserve">ARTICULO 565. FORMAS DE NOTIFICACIÓN DE LAS ACTUACIONES DE LA ADMINISTRACIÓN DE IMPUESTOS. </w:t>
      </w:r>
      <w:r w:rsidRPr="00F557D0">
        <w:rPr>
          <w:rFonts w:ascii="Verdana" w:eastAsia="Times New Roman" w:hAnsi="Verdana" w:cs="Times New Roman"/>
          <w:i/>
          <w:iCs/>
          <w:color w:val="000000"/>
          <w:kern w:val="0"/>
          <w:lang w:val="es-CO" w:eastAsia="es-MX"/>
          <w14:ligatures w14:val="none"/>
        </w:rPr>
        <w:t>&lt;Artículo modificado por el artículo 45 de la Ley 1111 de 2006. El nuevo texto es el siguiente:&gt; Los requerimientos, autos que ordenen inspecciones o verificaciones tributarias, emplazamientos, citaciones, resoluciones en que se impongan sanciones, liquidaciones oficiales y demás actuaciones administrativas, deben notificarse de manera electrónica, personalmente o a través de la red oficial de correos o de cualquier servicio de mensajería especializada debidamente autorizada por la autoridad competente.</w:t>
      </w:r>
    </w:p>
    <w:p w14:paraId="07FAA7AE"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35FF762F" w14:textId="77777777" w:rsidR="00F557D0" w:rsidRPr="00F557D0" w:rsidRDefault="00F557D0" w:rsidP="00F557D0">
      <w:pPr>
        <w:ind w:left="567"/>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i/>
          <w:iCs/>
          <w:color w:val="000000"/>
          <w:kern w:val="0"/>
          <w:lang w:val="es-CO" w:eastAsia="es-MX"/>
          <w14:ligatures w14:val="none"/>
        </w:rPr>
        <w:t>&lt;Inciso modificado por el artículo 104 de la Ley 2010 de 2019. El nuevo texto es el siguiente:&gt; Las providencias que decidan recursos se notificarán personalmente, o por edicto si el contribuyente, responsable, agente retenedor o declarante, no compareciere dentro del término de los diez (10) días siguientes, contados a partir del día siguiente de la fecha de introducción al correo del aviso de citación. En este evento también procede la notificación electrónica.</w:t>
      </w:r>
    </w:p>
    <w:p w14:paraId="2465B6DA"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6D249180" w14:textId="77777777" w:rsidR="00F557D0" w:rsidRPr="00F557D0" w:rsidRDefault="00F557D0" w:rsidP="00F557D0">
      <w:pPr>
        <w:ind w:left="567"/>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i/>
          <w:iCs/>
          <w:color w:val="000000"/>
          <w:kern w:val="0"/>
          <w:lang w:val="es-CO" w:eastAsia="es-MX"/>
          <w14:ligatures w14:val="none"/>
        </w:rPr>
        <w:t>&lt;Inciso adicionado por el artículo 135 de la Ley 1607 de 2012. El nuevo texto es el siguiente:&gt; El edicto de que trata el inciso anterior se fijará en lugar público del despacho respectivo por el término de diez (10) días y deberá contener la parte resolutiva del respectivo acto administrativo.</w:t>
      </w:r>
    </w:p>
    <w:p w14:paraId="2EEEC034"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18506987" w14:textId="77777777" w:rsidR="00F557D0" w:rsidRPr="00F557D0" w:rsidRDefault="00F557D0" w:rsidP="00F557D0">
      <w:pPr>
        <w:ind w:left="567"/>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b/>
          <w:bCs/>
          <w:i/>
          <w:iCs/>
          <w:color w:val="000000"/>
          <w:kern w:val="0"/>
          <w:lang w:val="es-CO" w:eastAsia="es-MX"/>
          <w14:ligatures w14:val="none"/>
        </w:rPr>
        <w:t>PARÁGRAFO 1o</w:t>
      </w:r>
      <w:r w:rsidRPr="00F557D0">
        <w:rPr>
          <w:rFonts w:ascii="Verdana" w:eastAsia="Times New Roman" w:hAnsi="Verdana" w:cs="Times New Roman"/>
          <w:i/>
          <w:iCs/>
          <w:color w:val="000000"/>
          <w:kern w:val="0"/>
          <w:lang w:val="es-CO" w:eastAsia="es-MX"/>
          <w14:ligatures w14:val="none"/>
        </w:rPr>
        <w:t>. La notificación por correo de las actuaciones de la administración, en materia tributaria, aduanera o cambiaria se practicará mediante entrega de una copia del acto correspondiente en la última dirección informada por el contribuyente, responsable, agente retenedor o declarante en el Registro Único Tributario - RUT. En estos eventos también procederá la notificación electrónica.</w:t>
      </w:r>
    </w:p>
    <w:p w14:paraId="5FED2354"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27712BB4" w14:textId="77777777" w:rsidR="00F557D0" w:rsidRPr="00F557D0" w:rsidRDefault="00F557D0" w:rsidP="00F557D0">
      <w:pPr>
        <w:ind w:left="567"/>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i/>
          <w:iCs/>
          <w:color w:val="000000"/>
          <w:kern w:val="0"/>
          <w:lang w:val="es-CO" w:eastAsia="es-MX"/>
          <w14:ligatures w14:val="none"/>
        </w:rPr>
        <w:t xml:space="preserve">Cuando el contribuyente, responsable, agente retenedor o declarante, no hubiere informado una dirección a la administración tributaria, la actuación administrativa correspondiente se podrá notificar a la que establezca la administración mediante verificación directa o mediante la utilización de guías telefónicas, directorios y en general de información oficial, comercial o bancaria. </w:t>
      </w:r>
      <w:r w:rsidRPr="00F557D0">
        <w:rPr>
          <w:rFonts w:ascii="Verdana" w:eastAsia="Times New Roman" w:hAnsi="Verdana" w:cs="Times New Roman"/>
          <w:b/>
          <w:bCs/>
          <w:i/>
          <w:iCs/>
          <w:color w:val="000000"/>
          <w:kern w:val="0"/>
          <w:u w:val="single"/>
          <w:lang w:val="es-CO" w:eastAsia="es-MX"/>
          <w14:ligatures w14:val="none"/>
        </w:rPr>
        <w:t>Cuando</w:t>
      </w:r>
      <w:r w:rsidRPr="00F557D0">
        <w:rPr>
          <w:rFonts w:ascii="Verdana" w:eastAsia="Times New Roman" w:hAnsi="Verdana" w:cs="Times New Roman"/>
          <w:b/>
          <w:bCs/>
          <w:i/>
          <w:iCs/>
          <w:color w:val="000000"/>
          <w:kern w:val="0"/>
          <w:lang w:val="es-CO" w:eastAsia="es-MX"/>
          <w14:ligatures w14:val="none"/>
        </w:rPr>
        <w:t xml:space="preserve"> </w:t>
      </w:r>
      <w:r w:rsidRPr="00F557D0">
        <w:rPr>
          <w:rFonts w:ascii="Verdana" w:eastAsia="Times New Roman" w:hAnsi="Verdana" w:cs="Times New Roman"/>
          <w:b/>
          <w:bCs/>
          <w:i/>
          <w:iCs/>
          <w:color w:val="000000"/>
          <w:kern w:val="0"/>
          <w:u w:val="single"/>
          <w:lang w:val="es-CO" w:eastAsia="es-MX"/>
          <w14:ligatures w14:val="none"/>
        </w:rPr>
        <w:t>no haya sido posible establecer la dirección del contribuyente, responsable, agente</w:t>
      </w:r>
      <w:r w:rsidRPr="00F557D0">
        <w:rPr>
          <w:rFonts w:ascii="Verdana" w:eastAsia="Times New Roman" w:hAnsi="Verdana" w:cs="Times New Roman"/>
          <w:b/>
          <w:bCs/>
          <w:i/>
          <w:iCs/>
          <w:color w:val="000000"/>
          <w:kern w:val="0"/>
          <w:lang w:val="es-CO" w:eastAsia="es-MX"/>
          <w14:ligatures w14:val="none"/>
        </w:rPr>
        <w:t xml:space="preserve"> </w:t>
      </w:r>
      <w:r w:rsidRPr="00F557D0">
        <w:rPr>
          <w:rFonts w:ascii="Verdana" w:eastAsia="Times New Roman" w:hAnsi="Verdana" w:cs="Times New Roman"/>
          <w:b/>
          <w:bCs/>
          <w:i/>
          <w:iCs/>
          <w:color w:val="000000"/>
          <w:kern w:val="0"/>
          <w:u w:val="single"/>
          <w:lang w:val="es-CO" w:eastAsia="es-MX"/>
          <w14:ligatures w14:val="none"/>
        </w:rPr>
        <w:t>retenedor o declarante, por ninguno de los medios señalados, los actos de la administración</w:t>
      </w:r>
      <w:r w:rsidRPr="00F557D0">
        <w:rPr>
          <w:rFonts w:ascii="Verdana" w:eastAsia="Times New Roman" w:hAnsi="Verdana" w:cs="Times New Roman"/>
          <w:b/>
          <w:bCs/>
          <w:i/>
          <w:iCs/>
          <w:color w:val="000000"/>
          <w:kern w:val="0"/>
          <w:lang w:val="es-CO" w:eastAsia="es-MX"/>
          <w14:ligatures w14:val="none"/>
        </w:rPr>
        <w:t xml:space="preserve"> </w:t>
      </w:r>
      <w:r w:rsidRPr="00F557D0">
        <w:rPr>
          <w:rFonts w:ascii="Verdana" w:eastAsia="Times New Roman" w:hAnsi="Verdana" w:cs="Times New Roman"/>
          <w:b/>
          <w:bCs/>
          <w:i/>
          <w:iCs/>
          <w:color w:val="000000"/>
          <w:kern w:val="0"/>
          <w:u w:val="single"/>
          <w:lang w:val="es-CO" w:eastAsia="es-MX"/>
          <w14:ligatures w14:val="none"/>
        </w:rPr>
        <w:t>le serán notificados por medio de publicación en un periódico de circulación nacional.</w:t>
      </w:r>
    </w:p>
    <w:p w14:paraId="3BA6583B"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77939FFA" w14:textId="77777777" w:rsidR="00F557D0" w:rsidRPr="00F557D0" w:rsidRDefault="00F557D0" w:rsidP="00F557D0">
      <w:pPr>
        <w:ind w:left="567"/>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i/>
          <w:iCs/>
          <w:color w:val="000000"/>
          <w:kern w:val="0"/>
          <w:lang w:val="es-CO" w:eastAsia="es-MX"/>
          <w14:ligatures w14:val="none"/>
        </w:rPr>
        <w:t>Cuando la notificación se efectúe a una dirección distinta a la informada en el Registro Único Tributario, RUT, habrá lugar a corregir el error dentro del término previsto para la notificación del acto.</w:t>
      </w:r>
    </w:p>
    <w:p w14:paraId="756D4423"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7BDBD864" w14:textId="77777777" w:rsidR="00F557D0" w:rsidRPr="00F557D0" w:rsidRDefault="00F557D0" w:rsidP="00F557D0">
      <w:pPr>
        <w:ind w:left="567"/>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b/>
          <w:bCs/>
          <w:i/>
          <w:iCs/>
          <w:color w:val="000000"/>
          <w:kern w:val="0"/>
          <w:lang w:val="es-CO" w:eastAsia="es-MX"/>
          <w14:ligatures w14:val="none"/>
        </w:rPr>
        <w:t xml:space="preserve">PARÁGRAFO 2o. </w:t>
      </w:r>
      <w:r w:rsidRPr="00F557D0">
        <w:rPr>
          <w:rFonts w:ascii="Verdana" w:eastAsia="Times New Roman" w:hAnsi="Verdana" w:cs="Times New Roman"/>
          <w:i/>
          <w:iCs/>
          <w:color w:val="000000"/>
          <w:kern w:val="0"/>
          <w:lang w:val="es-CO" w:eastAsia="es-MX"/>
          <w14:ligatures w14:val="none"/>
        </w:rPr>
        <w:t xml:space="preserve">&lt;Parágrafo modificado por el artículo 47 del Decreto Ley 2106 de 2019. El nuevo texto es el siguiente:&gt; Cuando durante los procesos que se adelanten ante la administración tributaria el contribuyente, responsable, agente retenedor o declarante, actúe a través de apoderado, la notificación se surtirá a </w:t>
      </w:r>
      <w:r w:rsidRPr="00F557D0">
        <w:rPr>
          <w:rFonts w:ascii="Verdana" w:eastAsia="Times New Roman" w:hAnsi="Verdana" w:cs="Times New Roman"/>
          <w:i/>
          <w:iCs/>
          <w:color w:val="000000"/>
          <w:kern w:val="0"/>
          <w:lang w:val="es-CO" w:eastAsia="es-MX"/>
          <w14:ligatures w14:val="none"/>
        </w:rPr>
        <w:lastRenderedPageBreak/>
        <w:t>la dirección de correo físico, o electrónico que dicho apoderado tenga registrado en el Registro Único Tributario (RUT).</w:t>
      </w:r>
    </w:p>
    <w:p w14:paraId="3C0960E6"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4ED73909" w14:textId="77777777" w:rsidR="00F557D0" w:rsidRPr="00F557D0" w:rsidRDefault="00F557D0" w:rsidP="00F557D0">
      <w:pPr>
        <w:ind w:left="567"/>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b/>
          <w:bCs/>
          <w:i/>
          <w:iCs/>
          <w:color w:val="000000"/>
          <w:kern w:val="0"/>
          <w:lang w:val="es-CO" w:eastAsia="es-MX"/>
          <w14:ligatures w14:val="none"/>
        </w:rPr>
        <w:t xml:space="preserve">PARÁGRAFO 3o. </w:t>
      </w:r>
      <w:r w:rsidRPr="00F557D0">
        <w:rPr>
          <w:rFonts w:ascii="Verdana" w:eastAsia="Times New Roman" w:hAnsi="Verdana" w:cs="Times New Roman"/>
          <w:i/>
          <w:iCs/>
          <w:color w:val="000000"/>
          <w:kern w:val="0"/>
          <w:lang w:val="es-CO" w:eastAsia="es-MX"/>
          <w14:ligatures w14:val="none"/>
        </w:rPr>
        <w:t>Las actuaciones y notificaciones que se realicen a través de los servicios informáticos electrónicos de la Dirección de Impuestos y Aduanas Nacionales como certificadora digital cerrada serán gratuitos, en los términos de la Ley 527 de 1999 y sus disposiciones reglamentarias.</w:t>
      </w:r>
    </w:p>
    <w:p w14:paraId="31B3F42C"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5FAB1705" w14:textId="77777777" w:rsidR="00F557D0" w:rsidRPr="00F557D0" w:rsidRDefault="00F557D0" w:rsidP="00F557D0">
      <w:pPr>
        <w:ind w:left="567"/>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b/>
          <w:bCs/>
          <w:i/>
          <w:iCs/>
          <w:color w:val="000000"/>
          <w:kern w:val="0"/>
          <w:lang w:val="es-CO" w:eastAsia="es-MX"/>
          <w14:ligatures w14:val="none"/>
        </w:rPr>
        <w:t xml:space="preserve">PARÁGRAFO 4o. </w:t>
      </w:r>
      <w:r w:rsidRPr="00F557D0">
        <w:rPr>
          <w:rFonts w:ascii="Verdana" w:eastAsia="Times New Roman" w:hAnsi="Verdana" w:cs="Times New Roman"/>
          <w:i/>
          <w:iCs/>
          <w:color w:val="000000"/>
          <w:kern w:val="0"/>
          <w:lang w:val="es-CO" w:eastAsia="es-MX"/>
          <w14:ligatures w14:val="none"/>
        </w:rPr>
        <w:t>&lt;Parágrafo modificado por el artículo 104 de la Ley 2010 de 2019. El nuevo texto es el siguiente:&gt; Todos los actos administrativos de que trata el presente artículo, incluidos los que se profieran en el proceso de cobro coactivo, se podrán notificar de manera electrónica, siempre y cuando el contribuyente, responsable, agente retenedor o declarante haya informado un correo electrónico en el Registro Único Tributario (RUT), con lo que se entiende haber manifestado de forma expresa su voluntad de ser notificado electrónicamente. Para estos efectos, la Dirección de Impuestos y Aduanas Nacionales (DIAN) deberá implementar los mecanismos correspondientes en el Registro Único Tributario (RUT) y habilitará una casilla adicional para que el contribuyente pueda incluir la dirección de correo electrónico de su apoderado o sus apoderados, caso en el cual se enviará una copia del acto a dicha dirección de correo electrónico.</w:t>
      </w:r>
    </w:p>
    <w:p w14:paraId="419F0F41"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0E1914CC" w14:textId="77777777" w:rsidR="00F557D0" w:rsidRPr="00F557D0" w:rsidRDefault="00F557D0" w:rsidP="00F557D0">
      <w:pPr>
        <w:ind w:left="567"/>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b/>
          <w:bCs/>
          <w:i/>
          <w:iCs/>
          <w:color w:val="000000"/>
          <w:kern w:val="0"/>
          <w:lang w:val="es-CO" w:eastAsia="es-MX"/>
          <w14:ligatures w14:val="none"/>
        </w:rPr>
        <w:t xml:space="preserve">PARÁGRAFO 5o. </w:t>
      </w:r>
      <w:r w:rsidRPr="00F557D0">
        <w:rPr>
          <w:rFonts w:ascii="Verdana" w:eastAsia="Times New Roman" w:hAnsi="Verdana" w:cs="Times New Roman"/>
          <w:i/>
          <w:iCs/>
          <w:color w:val="000000"/>
          <w:kern w:val="0"/>
          <w:lang w:val="es-CO" w:eastAsia="es-MX"/>
          <w14:ligatures w14:val="none"/>
        </w:rPr>
        <w:t xml:space="preserve">&lt;Parágrafo modificado por el artículo 104 de la Ley 2010 de 2019. El nuevo texto es el siguiente:&gt; Lo dispuesto en este artículo aplica para la notificación de los actos administrativos expedidos por la Unidad de Gestión Pensional y Parafiscales (UGPP).” </w:t>
      </w:r>
      <w:r w:rsidRPr="00F557D0">
        <w:rPr>
          <w:rFonts w:ascii="Verdana" w:eastAsia="Times New Roman" w:hAnsi="Verdana" w:cs="Times New Roman"/>
          <w:color w:val="000000"/>
          <w:kern w:val="0"/>
          <w:lang w:val="es-CO" w:eastAsia="es-MX"/>
          <w14:ligatures w14:val="none"/>
        </w:rPr>
        <w:t>(Subraya y negrillas ajenas al texto original)</w:t>
      </w:r>
    </w:p>
    <w:p w14:paraId="733F83F6"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66B67ADD"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 xml:space="preserve">Nótese que la norma trascrita define tres medios principales de notificación, a saber: </w:t>
      </w:r>
      <w:r w:rsidRPr="00F557D0">
        <w:rPr>
          <w:rFonts w:ascii="Verdana" w:eastAsia="Times New Roman" w:hAnsi="Verdana" w:cs="Times New Roman"/>
          <w:i/>
          <w:iCs/>
          <w:color w:val="000000"/>
          <w:kern w:val="0"/>
          <w:lang w:val="es-CO" w:eastAsia="es-MX"/>
          <w14:ligatures w14:val="none"/>
        </w:rPr>
        <w:t xml:space="preserve">(i) </w:t>
      </w:r>
      <w:r w:rsidRPr="00F557D0">
        <w:rPr>
          <w:rFonts w:ascii="Verdana" w:eastAsia="Times New Roman" w:hAnsi="Verdana" w:cs="Times New Roman"/>
          <w:color w:val="000000"/>
          <w:kern w:val="0"/>
          <w:lang w:val="es-CO" w:eastAsia="es-MX"/>
          <w14:ligatures w14:val="none"/>
        </w:rPr>
        <w:t xml:space="preserve">notificación electrónica, esto es, cuando el contribuyente ha registrado un correo electrónico en el RUT y manifiesta su voluntad de ser notificado por este medio; </w:t>
      </w:r>
      <w:r w:rsidRPr="00F557D0">
        <w:rPr>
          <w:rFonts w:ascii="Verdana" w:eastAsia="Times New Roman" w:hAnsi="Verdana" w:cs="Times New Roman"/>
          <w:i/>
          <w:iCs/>
          <w:color w:val="000000"/>
          <w:kern w:val="0"/>
          <w:lang w:val="es-CO" w:eastAsia="es-MX"/>
          <w14:ligatures w14:val="none"/>
        </w:rPr>
        <w:t>(</w:t>
      </w:r>
      <w:proofErr w:type="spellStart"/>
      <w:r w:rsidRPr="00F557D0">
        <w:rPr>
          <w:rFonts w:ascii="Verdana" w:eastAsia="Times New Roman" w:hAnsi="Verdana" w:cs="Times New Roman"/>
          <w:i/>
          <w:iCs/>
          <w:color w:val="000000"/>
          <w:kern w:val="0"/>
          <w:lang w:val="es-CO" w:eastAsia="es-MX"/>
          <w14:ligatures w14:val="none"/>
        </w:rPr>
        <w:t>ii</w:t>
      </w:r>
      <w:proofErr w:type="spellEnd"/>
      <w:r w:rsidRPr="00F557D0">
        <w:rPr>
          <w:rFonts w:ascii="Verdana" w:eastAsia="Times New Roman" w:hAnsi="Verdana" w:cs="Times New Roman"/>
          <w:i/>
          <w:iCs/>
          <w:color w:val="000000"/>
          <w:kern w:val="0"/>
          <w:lang w:val="es-CO" w:eastAsia="es-MX"/>
          <w14:ligatures w14:val="none"/>
        </w:rPr>
        <w:t xml:space="preserve">) </w:t>
      </w:r>
      <w:r w:rsidRPr="00F557D0">
        <w:rPr>
          <w:rFonts w:ascii="Verdana" w:eastAsia="Times New Roman" w:hAnsi="Verdana" w:cs="Times New Roman"/>
          <w:color w:val="000000"/>
          <w:kern w:val="0"/>
          <w:lang w:val="es-CO" w:eastAsia="es-MX"/>
          <w14:ligatures w14:val="none"/>
        </w:rPr>
        <w:t xml:space="preserve">notificación personal; y </w:t>
      </w:r>
      <w:r w:rsidRPr="00F557D0">
        <w:rPr>
          <w:rFonts w:ascii="Verdana" w:eastAsia="Times New Roman" w:hAnsi="Verdana" w:cs="Times New Roman"/>
          <w:i/>
          <w:iCs/>
          <w:color w:val="000000"/>
          <w:kern w:val="0"/>
          <w:lang w:val="es-CO" w:eastAsia="es-MX"/>
          <w14:ligatures w14:val="none"/>
        </w:rPr>
        <w:t>(</w:t>
      </w:r>
      <w:proofErr w:type="spellStart"/>
      <w:r w:rsidRPr="00F557D0">
        <w:rPr>
          <w:rFonts w:ascii="Verdana" w:eastAsia="Times New Roman" w:hAnsi="Verdana" w:cs="Times New Roman"/>
          <w:i/>
          <w:iCs/>
          <w:color w:val="000000"/>
          <w:kern w:val="0"/>
          <w:lang w:val="es-CO" w:eastAsia="es-MX"/>
          <w14:ligatures w14:val="none"/>
        </w:rPr>
        <w:t>iii</w:t>
      </w:r>
      <w:proofErr w:type="spellEnd"/>
      <w:r w:rsidRPr="00F557D0">
        <w:rPr>
          <w:rFonts w:ascii="Verdana" w:eastAsia="Times New Roman" w:hAnsi="Verdana" w:cs="Times New Roman"/>
          <w:i/>
          <w:iCs/>
          <w:color w:val="000000"/>
          <w:kern w:val="0"/>
          <w:lang w:val="es-CO" w:eastAsia="es-MX"/>
          <w14:ligatures w14:val="none"/>
        </w:rPr>
        <w:t xml:space="preserve">) </w:t>
      </w:r>
      <w:r w:rsidRPr="00F557D0">
        <w:rPr>
          <w:rFonts w:ascii="Verdana" w:eastAsia="Times New Roman" w:hAnsi="Verdana" w:cs="Times New Roman"/>
          <w:color w:val="000000"/>
          <w:kern w:val="0"/>
          <w:lang w:val="es-CO" w:eastAsia="es-MX"/>
          <w14:ligatures w14:val="none"/>
        </w:rPr>
        <w:t>notificación por correo físico a la dirección informada en el RUT.</w:t>
      </w:r>
    </w:p>
    <w:p w14:paraId="01944BED"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31317C32"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Igualmente, el parágrafo 1º reguló la notificación por correo físico, señalando que esta debe hacerse a la última dirección reportada en el RUT y que en estos eventos también procede la notificación electrónica. También previó mecanismos supletorios para ubicar una dirección cuando el contribuyente no ha informado ninguna, incluyendo la posibilidad de notificar por publicación en prensa si no se logra determinar un domicilio.</w:t>
      </w:r>
    </w:p>
    <w:p w14:paraId="52764D60"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1F833E98"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lastRenderedPageBreak/>
        <w:t>De forma concluyente, el parágrafo 4° ratificó que todos los actos administrativos mencionados en este artículo se podrán notificar electrónicamente, siempre y cuando el contribuyente haya registrado un correo electrónico en el RUT, entendiéndose con ello su consentimiento expreso para la notificación por este medio.</w:t>
      </w:r>
    </w:p>
    <w:p w14:paraId="09051FDE"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24A4488A"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Es decir que el artículo analizado, si bien privilegia la notificación electrónica siempre y cuando esta sea posible, no excluye las demás formas tradicionales de notificación cuando se deciden recursos, para lo cual también definió unas reglas particulares para su notificación personal o por edicto, tal como se infiere de su segundo inciso. Lo anterior por cuanto la notificación electrónica es falible, razón por la cual el artículo 566-1 del ETN en su quinto inciso precisó que “[c]</w:t>
      </w:r>
      <w:proofErr w:type="spellStart"/>
      <w:r w:rsidRPr="00F557D0">
        <w:rPr>
          <w:rFonts w:ascii="Verdana" w:eastAsia="Times New Roman" w:hAnsi="Verdana" w:cs="Times New Roman"/>
          <w:i/>
          <w:iCs/>
          <w:color w:val="000000"/>
          <w:kern w:val="0"/>
          <w:lang w:val="es-CO" w:eastAsia="es-MX"/>
          <w14:ligatures w14:val="none"/>
        </w:rPr>
        <w:t>uando</w:t>
      </w:r>
      <w:proofErr w:type="spellEnd"/>
      <w:r w:rsidRPr="00F557D0">
        <w:rPr>
          <w:rFonts w:ascii="Verdana" w:eastAsia="Times New Roman" w:hAnsi="Verdana" w:cs="Times New Roman"/>
          <w:i/>
          <w:iCs/>
          <w:color w:val="000000"/>
          <w:kern w:val="0"/>
          <w:lang w:val="es-CO" w:eastAsia="es-MX"/>
          <w14:ligatures w14:val="none"/>
        </w:rPr>
        <w:t xml:space="preserve"> no sea posible la notificación del acto administrativo en forma electrónica, bien sea por imposibilidad técnica atribuible a la Administración Tributaria o por causas atribuibles al contribuyente, ésta se surtirá de conformidad con lo establecido en los artículos 565 y 568 del Estatuto Tributario</w:t>
      </w:r>
      <w:r w:rsidRPr="00F557D0">
        <w:rPr>
          <w:rFonts w:ascii="Verdana" w:eastAsia="Times New Roman" w:hAnsi="Verdana" w:cs="Times New Roman"/>
          <w:color w:val="000000"/>
          <w:kern w:val="0"/>
          <w:lang w:val="es-CO" w:eastAsia="es-MX"/>
          <w14:ligatures w14:val="none"/>
        </w:rPr>
        <w:t>”.</w:t>
      </w:r>
    </w:p>
    <w:p w14:paraId="4D7F9526"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3289A36E"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De otro lado, en lo que atañe a la notificación por aviso, el artículo 568 ETN indicó que esta forma de notificación actúa como un mecanismo supletorio para ciertos casos, al señalar que “[l]</w:t>
      </w:r>
      <w:r w:rsidRPr="00F557D0">
        <w:rPr>
          <w:rFonts w:ascii="Verdana" w:eastAsia="Times New Roman" w:hAnsi="Verdana" w:cs="Times New Roman"/>
          <w:i/>
          <w:iCs/>
          <w:color w:val="000000"/>
          <w:kern w:val="0"/>
          <w:lang w:val="es-CO" w:eastAsia="es-MX"/>
          <w14:ligatures w14:val="none"/>
        </w:rPr>
        <w:t>os actos administrativos enviados por correo, que por cualquier razón sean devueltos, serán notificados mediante aviso, con transcripción de la parte resolutiva del acto administrativo, en el portal web de la DIAN que incluya mecanismos de búsqueda por número identificación personal y, en todo caso, en un lugar de acceso al público de la misma entidad.</w:t>
      </w:r>
      <w:r w:rsidRPr="00F557D0">
        <w:rPr>
          <w:rFonts w:ascii="Verdana" w:eastAsia="Times New Roman" w:hAnsi="Verdana" w:cs="Times New Roman"/>
          <w:color w:val="000000"/>
          <w:kern w:val="0"/>
          <w:lang w:val="es-CO" w:eastAsia="es-MX"/>
          <w14:ligatures w14:val="none"/>
        </w:rPr>
        <w:t>”</w:t>
      </w:r>
    </w:p>
    <w:p w14:paraId="654F7785"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34A90AE0"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Así las cosas, el aviso consiste en una publicación de la parte resolutiva del acto administrativo en la página web institucional de la DIAN y en sus carteleras oficiales, con el objeto de surtir la notificación cuando el envío por correo físico no pudo realizarse efectivamente porque fue devuelto. De modo que funciona como último recurso para garantizar publicidad del acto cuando la notificación personal no haya sido posible, sin que se pueda predicar la existencia de discrecionalidad alguna por parte de la administración para optar entre una u otra de notificación de forma arbitraria</w:t>
      </w:r>
      <w:r w:rsidRPr="00F557D0">
        <w:rPr>
          <w:rFonts w:ascii="Verdana" w:eastAsia="Times New Roman" w:hAnsi="Verdana" w:cs="Times New Roman"/>
          <w:color w:val="000000"/>
          <w:kern w:val="0"/>
          <w:sz w:val="14"/>
          <w:szCs w:val="14"/>
          <w:vertAlign w:val="superscript"/>
          <w:lang w:val="es-CO" w:eastAsia="es-MX"/>
          <w14:ligatures w14:val="none"/>
        </w:rPr>
        <w:t>3</w:t>
      </w:r>
      <w:r w:rsidRPr="00F557D0">
        <w:rPr>
          <w:rFonts w:ascii="Verdana" w:eastAsia="Times New Roman" w:hAnsi="Verdana" w:cs="Times New Roman"/>
          <w:color w:val="000000"/>
          <w:kern w:val="0"/>
          <w:lang w:val="es-CO" w:eastAsia="es-MX"/>
          <w14:ligatures w14:val="none"/>
        </w:rPr>
        <w:t>, ya que es imperativo aplicar las reglas y el orden que emanan de los artículos 565 y 568 del ETN, como garantía del derecho constitucional al debido proceso y el respeto a las ritualidades propias de cada actuación.</w:t>
      </w:r>
    </w:p>
    <w:p w14:paraId="5412F9E2"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77092A04"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 xml:space="preserve">De otro lado, cabe precisar que estas disposiciones son aplicables a las actuaciones administrativas derivadas de los procesos de cobro coactivo adelantados por la SDH, en cumplimiento de lo ordenado por el artículo 5 </w:t>
      </w:r>
      <w:r w:rsidRPr="00F557D0">
        <w:rPr>
          <w:rFonts w:ascii="Verdana" w:eastAsia="Times New Roman" w:hAnsi="Verdana" w:cs="Times New Roman"/>
          <w:color w:val="000000"/>
          <w:kern w:val="0"/>
          <w:lang w:val="es-CO" w:eastAsia="es-MX"/>
          <w14:ligatures w14:val="none"/>
        </w:rPr>
        <w:lastRenderedPageBreak/>
        <w:t>de la Ley 1066 de 2006</w:t>
      </w:r>
      <w:r w:rsidRPr="00F557D0">
        <w:rPr>
          <w:rFonts w:ascii="Verdana" w:eastAsia="Times New Roman" w:hAnsi="Verdana" w:cs="Times New Roman"/>
          <w:color w:val="000000"/>
          <w:kern w:val="0"/>
          <w:sz w:val="14"/>
          <w:szCs w:val="14"/>
          <w:vertAlign w:val="superscript"/>
          <w:lang w:val="es-CO" w:eastAsia="es-MX"/>
          <w14:ligatures w14:val="none"/>
        </w:rPr>
        <w:t>4</w:t>
      </w:r>
      <w:r w:rsidRPr="00F557D0">
        <w:rPr>
          <w:rFonts w:ascii="Verdana" w:eastAsia="Times New Roman" w:hAnsi="Verdana" w:cs="Times New Roman"/>
          <w:color w:val="000000"/>
          <w:kern w:val="0"/>
          <w:lang w:val="es-CO" w:eastAsia="es-MX"/>
          <w14:ligatures w14:val="none"/>
        </w:rPr>
        <w:t>, el Decreto Distrital 289 de 2021</w:t>
      </w:r>
      <w:r w:rsidRPr="00F557D0">
        <w:rPr>
          <w:rFonts w:ascii="Verdana" w:eastAsia="Times New Roman" w:hAnsi="Verdana" w:cs="Times New Roman"/>
          <w:color w:val="000000"/>
          <w:kern w:val="0"/>
          <w:sz w:val="14"/>
          <w:szCs w:val="14"/>
          <w:vertAlign w:val="superscript"/>
          <w:lang w:val="es-CO" w:eastAsia="es-MX"/>
          <w14:ligatures w14:val="none"/>
        </w:rPr>
        <w:t>5</w:t>
      </w:r>
      <w:r w:rsidRPr="00F557D0">
        <w:rPr>
          <w:rFonts w:ascii="Verdana" w:eastAsia="Times New Roman" w:hAnsi="Verdana" w:cs="Times New Roman"/>
          <w:color w:val="000000"/>
          <w:kern w:val="0"/>
          <w:lang w:val="es-CO" w:eastAsia="es-MX"/>
          <w14:ligatures w14:val="none"/>
        </w:rPr>
        <w:t xml:space="preserve"> y la Resolución SDH-000247 de 2022</w:t>
      </w:r>
      <w:r w:rsidRPr="00F557D0">
        <w:rPr>
          <w:rFonts w:ascii="Verdana" w:eastAsia="Times New Roman" w:hAnsi="Verdana" w:cs="Times New Roman"/>
          <w:color w:val="000000"/>
          <w:kern w:val="0"/>
          <w:sz w:val="14"/>
          <w:szCs w:val="14"/>
          <w:vertAlign w:val="superscript"/>
          <w:lang w:val="es-CO" w:eastAsia="es-MX"/>
          <w14:ligatures w14:val="none"/>
        </w:rPr>
        <w:t>6.</w:t>
      </w:r>
      <w:r w:rsidRPr="00F557D0">
        <w:rPr>
          <w:rFonts w:ascii="Verdana" w:eastAsia="Times New Roman" w:hAnsi="Verdana" w:cs="Times New Roman"/>
          <w:color w:val="000000"/>
          <w:kern w:val="0"/>
          <w:lang w:val="es-CO" w:eastAsia="es-MX"/>
          <w14:ligatures w14:val="none"/>
        </w:rPr>
        <w:t>.</w:t>
      </w:r>
    </w:p>
    <w:p w14:paraId="359DD044"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024BA171" w14:textId="77777777" w:rsidR="00F557D0" w:rsidRPr="00F557D0" w:rsidRDefault="00F557D0" w:rsidP="00F557D0">
      <w:pPr>
        <w:jc w:val="both"/>
        <w:outlineLvl w:val="1"/>
        <w:rPr>
          <w:rFonts w:ascii="Times New Roman" w:eastAsia="Times New Roman" w:hAnsi="Times New Roman" w:cs="Times New Roman"/>
          <w:b/>
          <w:bCs/>
          <w:kern w:val="0"/>
          <w:sz w:val="36"/>
          <w:szCs w:val="36"/>
          <w:lang w:val="es-CO" w:eastAsia="es-MX"/>
          <w14:ligatures w14:val="none"/>
        </w:rPr>
      </w:pPr>
      <w:r w:rsidRPr="00F557D0">
        <w:rPr>
          <w:rFonts w:ascii="Verdana" w:eastAsia="Times New Roman" w:hAnsi="Verdana" w:cs="Times New Roman"/>
          <w:b/>
          <w:bCs/>
          <w:color w:val="000000"/>
          <w:kern w:val="0"/>
          <w:lang w:val="es-CO" w:eastAsia="es-MX"/>
          <w14:ligatures w14:val="none"/>
        </w:rPr>
        <w:t>3. La contradicción legal existente entre el inciso tercero del artículo 563 y el inciso quinto del artículo 565 del Estatuto Tributario Nacional (ETN)</w:t>
      </w:r>
    </w:p>
    <w:p w14:paraId="2A7D0C46"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1A4C90F5"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 xml:space="preserve">En la consulta jurídica objeto del presente análisis, la dependencia consultante plantea la existencia de una antinomia o contradicción legal entre el inciso tercero del artículo 563 del ETN y el inciso quinto del artículo 565 </w:t>
      </w:r>
      <w:r w:rsidRPr="00F557D0">
        <w:rPr>
          <w:rFonts w:ascii="Verdana" w:eastAsia="Times New Roman" w:hAnsi="Verdana" w:cs="Times New Roman"/>
          <w:i/>
          <w:iCs/>
          <w:color w:val="000000"/>
          <w:kern w:val="0"/>
          <w:lang w:val="es-CO" w:eastAsia="es-MX"/>
          <w14:ligatures w14:val="none"/>
        </w:rPr>
        <w:t>ibidem</w:t>
      </w:r>
      <w:r w:rsidRPr="00F557D0">
        <w:rPr>
          <w:rFonts w:ascii="Verdana" w:eastAsia="Times New Roman" w:hAnsi="Verdana" w:cs="Times New Roman"/>
          <w:color w:val="000000"/>
          <w:kern w:val="0"/>
          <w:lang w:val="es-CO" w:eastAsia="es-MX"/>
          <w14:ligatures w14:val="none"/>
        </w:rPr>
        <w:t>, frente a lo cual, la Corte Constitucional ha considerado de modo general, que las antinomias son aquellas situaciones en la que se dan dos normas incompatibles entre sí, que pertenecen a un mismo ordenamiento y tienen un mismo ámbito de validez</w:t>
      </w:r>
      <w:r w:rsidRPr="00F557D0">
        <w:rPr>
          <w:rFonts w:ascii="Verdana" w:eastAsia="Times New Roman" w:hAnsi="Verdana" w:cs="Times New Roman"/>
          <w:color w:val="000000"/>
          <w:kern w:val="0"/>
          <w:sz w:val="14"/>
          <w:szCs w:val="14"/>
          <w:vertAlign w:val="superscript"/>
          <w:lang w:val="es-CO" w:eastAsia="es-MX"/>
          <w14:ligatures w14:val="none"/>
        </w:rPr>
        <w:t>7</w:t>
      </w:r>
      <w:r w:rsidRPr="00F557D0">
        <w:rPr>
          <w:rFonts w:ascii="Verdana" w:eastAsia="Times New Roman" w:hAnsi="Verdana" w:cs="Times New Roman"/>
          <w:color w:val="000000"/>
          <w:kern w:val="0"/>
          <w:lang w:val="es-CO" w:eastAsia="es-MX"/>
          <w14:ligatures w14:val="none"/>
        </w:rPr>
        <w:t>.</w:t>
      </w:r>
    </w:p>
    <w:p w14:paraId="0661C1FA"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6F5B456C"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Para resolver estos conflictos, la Corte ha fijado los siguientes criterios hermenéuticos: (i) el criterio jerárquico, según el cual la norma superior prima o prevalece sobre la inferior; (</w:t>
      </w:r>
      <w:proofErr w:type="spellStart"/>
      <w:r w:rsidRPr="00F557D0">
        <w:rPr>
          <w:rFonts w:ascii="Verdana" w:eastAsia="Times New Roman" w:hAnsi="Verdana" w:cs="Times New Roman"/>
          <w:color w:val="000000"/>
          <w:kern w:val="0"/>
          <w:lang w:val="es-CO" w:eastAsia="es-MX"/>
          <w14:ligatures w14:val="none"/>
        </w:rPr>
        <w:t>ii</w:t>
      </w:r>
      <w:proofErr w:type="spellEnd"/>
      <w:r w:rsidRPr="00F557D0">
        <w:rPr>
          <w:rFonts w:ascii="Verdana" w:eastAsia="Times New Roman" w:hAnsi="Verdana" w:cs="Times New Roman"/>
          <w:color w:val="000000"/>
          <w:kern w:val="0"/>
          <w:lang w:val="es-CO" w:eastAsia="es-MX"/>
          <w14:ligatures w14:val="none"/>
        </w:rPr>
        <w:t>) el criterio cronológico, que reconoce la prevalencia de la norma posterior sobre la anterior, esto es, que en caso de incompatibilidad entre dos normas de igual jerarquía expedidas en momentos distintos debe preferirse la posterior en el tiempo; y (</w:t>
      </w:r>
      <w:proofErr w:type="spellStart"/>
      <w:r w:rsidRPr="00F557D0">
        <w:rPr>
          <w:rFonts w:ascii="Verdana" w:eastAsia="Times New Roman" w:hAnsi="Verdana" w:cs="Times New Roman"/>
          <w:color w:val="000000"/>
          <w:kern w:val="0"/>
          <w:lang w:val="es-CO" w:eastAsia="es-MX"/>
          <w14:ligatures w14:val="none"/>
        </w:rPr>
        <w:t>iii</w:t>
      </w:r>
      <w:proofErr w:type="spellEnd"/>
      <w:r w:rsidRPr="00F557D0">
        <w:rPr>
          <w:rFonts w:ascii="Verdana" w:eastAsia="Times New Roman" w:hAnsi="Verdana" w:cs="Times New Roman"/>
          <w:color w:val="000000"/>
          <w:kern w:val="0"/>
          <w:lang w:val="es-CO" w:eastAsia="es-MX"/>
          <w14:ligatures w14:val="none"/>
        </w:rPr>
        <w:t>) el criterio de especialidad, conforme al cual la norma especial prima sobre la general</w:t>
      </w:r>
      <w:r w:rsidRPr="00F557D0">
        <w:rPr>
          <w:rFonts w:ascii="Verdana" w:eastAsia="Times New Roman" w:hAnsi="Verdana" w:cs="Times New Roman"/>
          <w:color w:val="000000"/>
          <w:kern w:val="0"/>
          <w:sz w:val="14"/>
          <w:szCs w:val="14"/>
          <w:vertAlign w:val="superscript"/>
          <w:lang w:val="es-CO" w:eastAsia="es-MX"/>
          <w14:ligatures w14:val="none"/>
        </w:rPr>
        <w:t>8</w:t>
      </w:r>
      <w:r w:rsidRPr="00F557D0">
        <w:rPr>
          <w:rFonts w:ascii="Verdana" w:eastAsia="Times New Roman" w:hAnsi="Verdana" w:cs="Times New Roman"/>
          <w:color w:val="000000"/>
          <w:kern w:val="0"/>
          <w:lang w:val="es-CO" w:eastAsia="es-MX"/>
          <w14:ligatures w14:val="none"/>
        </w:rPr>
        <w:t>.</w:t>
      </w:r>
    </w:p>
    <w:p w14:paraId="1B832384"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10F64C5B"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Descendiendo al tema concreto de nuestro interés, hay que precisar que se cumplen los criterios inicialmente señalados para considerar que en el presente caso existe una antinomia, habida cuenta que: (i) el inciso tercero del artículo 563 del ETN y el inciso quinto del artículo 565 hacen parte del mismo ordenamiento jurídico, este es, el ETN; (</w:t>
      </w:r>
      <w:proofErr w:type="spellStart"/>
      <w:r w:rsidRPr="00F557D0">
        <w:rPr>
          <w:rFonts w:ascii="Verdana" w:eastAsia="Times New Roman" w:hAnsi="Verdana" w:cs="Times New Roman"/>
          <w:color w:val="000000"/>
          <w:kern w:val="0"/>
          <w:lang w:val="es-CO" w:eastAsia="es-MX"/>
          <w14:ligatures w14:val="none"/>
        </w:rPr>
        <w:t>ii</w:t>
      </w:r>
      <w:proofErr w:type="spellEnd"/>
      <w:r w:rsidRPr="00F557D0">
        <w:rPr>
          <w:rFonts w:ascii="Verdana" w:eastAsia="Times New Roman" w:hAnsi="Verdana" w:cs="Times New Roman"/>
          <w:color w:val="000000"/>
          <w:kern w:val="0"/>
          <w:lang w:val="es-CO" w:eastAsia="es-MX"/>
          <w14:ligatures w14:val="none"/>
        </w:rPr>
        <w:t>) tienen igual jerarquía y ámbito de validez; y (</w:t>
      </w:r>
      <w:proofErr w:type="spellStart"/>
      <w:r w:rsidRPr="00F557D0">
        <w:rPr>
          <w:rFonts w:ascii="Verdana" w:eastAsia="Times New Roman" w:hAnsi="Verdana" w:cs="Times New Roman"/>
          <w:color w:val="000000"/>
          <w:kern w:val="0"/>
          <w:lang w:val="es-CO" w:eastAsia="es-MX"/>
          <w14:ligatures w14:val="none"/>
        </w:rPr>
        <w:t>iii</w:t>
      </w:r>
      <w:proofErr w:type="spellEnd"/>
      <w:r w:rsidRPr="00F557D0">
        <w:rPr>
          <w:rFonts w:ascii="Verdana" w:eastAsia="Times New Roman" w:hAnsi="Verdana" w:cs="Times New Roman"/>
          <w:color w:val="000000"/>
          <w:kern w:val="0"/>
          <w:lang w:val="es-CO" w:eastAsia="es-MX"/>
          <w14:ligatures w14:val="none"/>
        </w:rPr>
        <w:t>) existe una contradicción, ya que se predica una solución distinta para una misma situación fáctica, por cuanto ante la imposibilidad de establecer la dirección del contribuyente, responsable, agente retenedor o declarante, la primera norma dispone la notificación del acto administrativo en el portal web de la entidad, mientras que la segunda ordena su publicación en un periódico de circulación nacional.</w:t>
      </w:r>
    </w:p>
    <w:p w14:paraId="53DC0AE3"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3B9A7969"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Ahora bien, dando aplicación al criterio cronológico anteriormente explicado, se tiene que en efecto, el artículo 563 mencionado ha sido objeto de múltiples reformas legislativas, entre ellas la efectuada a través del artículo 59 del Decreto-Ley 19 de 2012</w:t>
      </w:r>
      <w:r w:rsidRPr="00F557D0">
        <w:rPr>
          <w:rFonts w:ascii="Verdana" w:eastAsia="Times New Roman" w:hAnsi="Verdana" w:cs="Times New Roman"/>
          <w:color w:val="000000"/>
          <w:kern w:val="0"/>
          <w:sz w:val="14"/>
          <w:szCs w:val="14"/>
          <w:vertAlign w:val="superscript"/>
          <w:lang w:val="es-CO" w:eastAsia="es-MX"/>
          <w14:ligatures w14:val="none"/>
        </w:rPr>
        <w:t>9</w:t>
      </w:r>
      <w:r w:rsidRPr="00F557D0">
        <w:rPr>
          <w:rFonts w:ascii="Verdana" w:eastAsia="Times New Roman" w:hAnsi="Verdana" w:cs="Times New Roman"/>
          <w:color w:val="000000"/>
          <w:kern w:val="0"/>
          <w:lang w:val="es-CO" w:eastAsia="es-MX"/>
          <w14:ligatures w14:val="none"/>
        </w:rPr>
        <w:t>, de la siguiente forma:</w:t>
      </w:r>
    </w:p>
    <w:p w14:paraId="30308DE8" w14:textId="77777777" w:rsidR="00F557D0" w:rsidRPr="00F557D0" w:rsidRDefault="00F557D0" w:rsidP="00F557D0">
      <w:pPr>
        <w:rPr>
          <w:rFonts w:ascii="Times New Roman" w:eastAsia="Times New Roman" w:hAnsi="Times New Roman" w:cs="Times New Roman"/>
          <w:kern w:val="0"/>
          <w:lang w:val="es-CO" w:eastAsia="es-MX"/>
          <w14:ligatures w14:val="none"/>
        </w:rPr>
      </w:pPr>
    </w:p>
    <w:tbl>
      <w:tblPr>
        <w:tblW w:w="0" w:type="auto"/>
        <w:tblCellMar>
          <w:top w:w="15" w:type="dxa"/>
          <w:left w:w="15" w:type="dxa"/>
          <w:bottom w:w="15" w:type="dxa"/>
          <w:right w:w="15" w:type="dxa"/>
        </w:tblCellMar>
        <w:tblLook w:val="04A0" w:firstRow="1" w:lastRow="0" w:firstColumn="1" w:lastColumn="0" w:noHBand="0" w:noVBand="1"/>
      </w:tblPr>
      <w:tblGrid>
        <w:gridCol w:w="4223"/>
        <w:gridCol w:w="4605"/>
      </w:tblGrid>
      <w:tr w:rsidR="00F557D0" w:rsidRPr="00F557D0" w14:paraId="12090A6F" w14:textId="77777777">
        <w:trPr>
          <w:trHeight w:val="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51C0D22D" w14:textId="77777777" w:rsidR="00F557D0" w:rsidRPr="00F557D0" w:rsidRDefault="00F557D0" w:rsidP="00F557D0">
            <w:pPr>
              <w:ind w:left="113" w:right="113"/>
              <w:jc w:val="center"/>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b/>
                <w:bCs/>
                <w:color w:val="000000"/>
                <w:kern w:val="0"/>
                <w:sz w:val="22"/>
                <w:szCs w:val="22"/>
                <w:lang w:val="es-CO" w:eastAsia="es-MX"/>
                <w14:ligatures w14:val="none"/>
              </w:rPr>
              <w:lastRenderedPageBreak/>
              <w:t>Texto original del artículo 563 del ETN</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6D4BDA77" w14:textId="77777777" w:rsidR="00F557D0" w:rsidRPr="00F557D0" w:rsidRDefault="00F557D0" w:rsidP="00F557D0">
            <w:pPr>
              <w:ind w:left="113" w:right="113"/>
              <w:jc w:val="center"/>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b/>
                <w:bCs/>
                <w:color w:val="000000"/>
                <w:kern w:val="0"/>
                <w:sz w:val="22"/>
                <w:szCs w:val="22"/>
                <w:lang w:val="es-CO" w:eastAsia="es-MX"/>
                <w14:ligatures w14:val="none"/>
              </w:rPr>
              <w:t>Reforma del artículo 563 del ETN (Artículo 59 del Decreto 19 de 2012.</w:t>
            </w:r>
          </w:p>
        </w:tc>
      </w:tr>
      <w:tr w:rsidR="00F557D0" w:rsidRPr="00F557D0" w14:paraId="1DCE5F67" w14:textId="77777777">
        <w:trPr>
          <w:trHeight w:val="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7FE1F9E5" w14:textId="77777777" w:rsidR="00F557D0" w:rsidRPr="00F557D0" w:rsidRDefault="00F557D0" w:rsidP="00F557D0">
            <w:pPr>
              <w:ind w:left="113" w:right="113"/>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b/>
                <w:bCs/>
                <w:i/>
                <w:iCs/>
                <w:color w:val="000000"/>
                <w:kern w:val="0"/>
                <w:sz w:val="22"/>
                <w:szCs w:val="22"/>
                <w:lang w:val="es-CO" w:eastAsia="es-MX"/>
                <w14:ligatures w14:val="none"/>
              </w:rPr>
              <w:t xml:space="preserve">“ARTÍCULO 563. </w:t>
            </w:r>
            <w:r w:rsidRPr="00F557D0">
              <w:rPr>
                <w:rFonts w:ascii="Verdana" w:eastAsia="Times New Roman" w:hAnsi="Verdana" w:cs="Times New Roman"/>
                <w:i/>
                <w:iCs/>
                <w:color w:val="000000"/>
                <w:kern w:val="0"/>
                <w:sz w:val="22"/>
                <w:szCs w:val="22"/>
                <w:lang w:val="es-CO" w:eastAsia="es-MX"/>
                <w14:ligatures w14:val="none"/>
              </w:rPr>
              <w:t>La notificación de las actuaciones de la Administración Tributaria deberá efectuarse a la dirección informada por el contribuyente, responsable, agente retenedor o declarante, en su última declaración de renta o de ingresos y patrimonio, según el caso, o mediante formato oficial de cambio de dirección; la antigua dirección continuará siendo válida durante los tres (3) meses siguientes, sin perjuicio de la validez de la nueva dirección informada.</w:t>
            </w:r>
          </w:p>
          <w:p w14:paraId="1B3CC187"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04D90AC6" w14:textId="77777777" w:rsidR="00F557D0" w:rsidRPr="00F557D0" w:rsidRDefault="00F557D0" w:rsidP="00F557D0">
            <w:pPr>
              <w:ind w:left="113" w:right="113"/>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i/>
                <w:iCs/>
                <w:color w:val="000000"/>
                <w:kern w:val="0"/>
                <w:sz w:val="22"/>
                <w:szCs w:val="22"/>
                <w:lang w:val="es-CO" w:eastAsia="es-MX"/>
                <w14:ligatures w14:val="none"/>
              </w:rPr>
              <w:t>Cuando el contribuyente, responsable, agente retenedor o declarante, no hubiere informado una dirección a la Administración de impuestos, la actuación administrativa correspondiente se podrá notificar a la que establezca la Administración mediante verificación directa o mediante la utilización de guías telefónicas, directorios y en general de información oficial, comercial o bancaria.</w:t>
            </w:r>
          </w:p>
          <w:p w14:paraId="157F0049"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443AA665" w14:textId="77777777" w:rsidR="00F557D0" w:rsidRPr="00F557D0" w:rsidRDefault="00F557D0" w:rsidP="00F557D0">
            <w:pPr>
              <w:ind w:left="113" w:right="113"/>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b/>
                <w:bCs/>
                <w:i/>
                <w:iCs/>
                <w:color w:val="000000"/>
                <w:kern w:val="0"/>
                <w:sz w:val="22"/>
                <w:szCs w:val="22"/>
                <w:u w:val="single"/>
                <w:lang w:val="es-CO" w:eastAsia="es-MX"/>
                <w14:ligatures w14:val="none"/>
              </w:rPr>
              <w:t>Cuando no haya sido posible establecer la</w:t>
            </w:r>
            <w:r w:rsidRPr="00F557D0">
              <w:rPr>
                <w:rFonts w:ascii="Verdana" w:eastAsia="Times New Roman" w:hAnsi="Verdana" w:cs="Times New Roman"/>
                <w:b/>
                <w:bCs/>
                <w:i/>
                <w:iCs/>
                <w:color w:val="000000"/>
                <w:kern w:val="0"/>
                <w:sz w:val="22"/>
                <w:szCs w:val="22"/>
                <w:lang w:val="es-CO" w:eastAsia="es-MX"/>
                <w14:ligatures w14:val="none"/>
              </w:rPr>
              <w:t xml:space="preserve"> </w:t>
            </w:r>
            <w:r w:rsidRPr="00F557D0">
              <w:rPr>
                <w:rFonts w:ascii="Verdana" w:eastAsia="Times New Roman" w:hAnsi="Verdana" w:cs="Times New Roman"/>
                <w:b/>
                <w:bCs/>
                <w:i/>
                <w:iCs/>
                <w:color w:val="000000"/>
                <w:kern w:val="0"/>
                <w:sz w:val="22"/>
                <w:szCs w:val="22"/>
                <w:u w:val="single"/>
                <w:lang w:val="es-CO" w:eastAsia="es-MX"/>
                <w14:ligatures w14:val="none"/>
              </w:rPr>
              <w:t>dirección del contribuyente, responsable,</w:t>
            </w:r>
            <w:r w:rsidRPr="00F557D0">
              <w:rPr>
                <w:rFonts w:ascii="Verdana" w:eastAsia="Times New Roman" w:hAnsi="Verdana" w:cs="Times New Roman"/>
                <w:b/>
                <w:bCs/>
                <w:i/>
                <w:iCs/>
                <w:color w:val="000000"/>
                <w:kern w:val="0"/>
                <w:sz w:val="22"/>
                <w:szCs w:val="22"/>
                <w:lang w:val="es-CO" w:eastAsia="es-MX"/>
                <w14:ligatures w14:val="none"/>
              </w:rPr>
              <w:t xml:space="preserve"> </w:t>
            </w:r>
            <w:r w:rsidRPr="00F557D0">
              <w:rPr>
                <w:rFonts w:ascii="Verdana" w:eastAsia="Times New Roman" w:hAnsi="Verdana" w:cs="Times New Roman"/>
                <w:b/>
                <w:bCs/>
                <w:i/>
                <w:iCs/>
                <w:color w:val="000000"/>
                <w:kern w:val="0"/>
                <w:sz w:val="22"/>
                <w:szCs w:val="22"/>
                <w:u w:val="single"/>
                <w:lang w:val="es-CO" w:eastAsia="es-MX"/>
                <w14:ligatures w14:val="none"/>
              </w:rPr>
              <w:t>agente retenedor o declarante, por ninguno de</w:t>
            </w:r>
            <w:r w:rsidRPr="00F557D0">
              <w:rPr>
                <w:rFonts w:ascii="Verdana" w:eastAsia="Times New Roman" w:hAnsi="Verdana" w:cs="Times New Roman"/>
                <w:b/>
                <w:bCs/>
                <w:i/>
                <w:iCs/>
                <w:color w:val="000000"/>
                <w:kern w:val="0"/>
                <w:sz w:val="22"/>
                <w:szCs w:val="22"/>
                <w:lang w:val="es-CO" w:eastAsia="es-MX"/>
                <w14:ligatures w14:val="none"/>
              </w:rPr>
              <w:t xml:space="preserve"> </w:t>
            </w:r>
            <w:r w:rsidRPr="00F557D0">
              <w:rPr>
                <w:rFonts w:ascii="Verdana" w:eastAsia="Times New Roman" w:hAnsi="Verdana" w:cs="Times New Roman"/>
                <w:b/>
                <w:bCs/>
                <w:i/>
                <w:iCs/>
                <w:color w:val="000000"/>
                <w:kern w:val="0"/>
                <w:sz w:val="22"/>
                <w:szCs w:val="22"/>
                <w:u w:val="single"/>
                <w:lang w:val="es-CO" w:eastAsia="es-MX"/>
                <w14:ligatures w14:val="none"/>
              </w:rPr>
              <w:t>los medios señalados en el inciso anterior, los</w:t>
            </w:r>
            <w:r w:rsidRPr="00F557D0">
              <w:rPr>
                <w:rFonts w:ascii="Verdana" w:eastAsia="Times New Roman" w:hAnsi="Verdana" w:cs="Times New Roman"/>
                <w:b/>
                <w:bCs/>
                <w:i/>
                <w:iCs/>
                <w:color w:val="000000"/>
                <w:kern w:val="0"/>
                <w:sz w:val="22"/>
                <w:szCs w:val="22"/>
                <w:lang w:val="es-CO" w:eastAsia="es-MX"/>
                <w14:ligatures w14:val="none"/>
              </w:rPr>
              <w:t xml:space="preserve"> </w:t>
            </w:r>
            <w:r w:rsidRPr="00F557D0">
              <w:rPr>
                <w:rFonts w:ascii="Verdana" w:eastAsia="Times New Roman" w:hAnsi="Verdana" w:cs="Times New Roman"/>
                <w:b/>
                <w:bCs/>
                <w:i/>
                <w:iCs/>
                <w:color w:val="000000"/>
                <w:kern w:val="0"/>
                <w:sz w:val="22"/>
                <w:szCs w:val="22"/>
                <w:u w:val="single"/>
                <w:lang w:val="es-CO" w:eastAsia="es-MX"/>
                <w14:ligatures w14:val="none"/>
              </w:rPr>
              <w:t>actos de la Administración le serán</w:t>
            </w:r>
            <w:r w:rsidRPr="00F557D0">
              <w:rPr>
                <w:rFonts w:ascii="Verdana" w:eastAsia="Times New Roman" w:hAnsi="Verdana" w:cs="Times New Roman"/>
                <w:b/>
                <w:bCs/>
                <w:i/>
                <w:iCs/>
                <w:color w:val="000000"/>
                <w:kern w:val="0"/>
                <w:sz w:val="22"/>
                <w:szCs w:val="22"/>
                <w:lang w:val="es-CO" w:eastAsia="es-MX"/>
                <w14:ligatures w14:val="none"/>
              </w:rPr>
              <w:t xml:space="preserve"> </w:t>
            </w:r>
            <w:r w:rsidRPr="00F557D0">
              <w:rPr>
                <w:rFonts w:ascii="Verdana" w:eastAsia="Times New Roman" w:hAnsi="Verdana" w:cs="Times New Roman"/>
                <w:b/>
                <w:bCs/>
                <w:i/>
                <w:iCs/>
                <w:color w:val="000000"/>
                <w:kern w:val="0"/>
                <w:sz w:val="22"/>
                <w:szCs w:val="22"/>
                <w:u w:val="single"/>
                <w:lang w:val="es-CO" w:eastAsia="es-MX"/>
                <w14:ligatures w14:val="none"/>
              </w:rPr>
              <w:t>notificados por medio de publicación en un</w:t>
            </w:r>
            <w:r w:rsidRPr="00F557D0">
              <w:rPr>
                <w:rFonts w:ascii="Verdana" w:eastAsia="Times New Roman" w:hAnsi="Verdana" w:cs="Times New Roman"/>
                <w:b/>
                <w:bCs/>
                <w:i/>
                <w:iCs/>
                <w:color w:val="000000"/>
                <w:kern w:val="0"/>
                <w:sz w:val="22"/>
                <w:szCs w:val="22"/>
                <w:lang w:val="es-CO" w:eastAsia="es-MX"/>
                <w14:ligatures w14:val="none"/>
              </w:rPr>
              <w:t xml:space="preserve"> </w:t>
            </w:r>
            <w:r w:rsidRPr="00F557D0">
              <w:rPr>
                <w:rFonts w:ascii="Verdana" w:eastAsia="Times New Roman" w:hAnsi="Verdana" w:cs="Times New Roman"/>
                <w:b/>
                <w:bCs/>
                <w:i/>
                <w:iCs/>
                <w:color w:val="000000"/>
                <w:kern w:val="0"/>
                <w:sz w:val="22"/>
                <w:szCs w:val="22"/>
                <w:u w:val="single"/>
                <w:lang w:val="es-CO" w:eastAsia="es-MX"/>
                <w14:ligatures w14:val="none"/>
              </w:rPr>
              <w:t>diario de amplia circulación</w:t>
            </w:r>
            <w:r w:rsidRPr="00F557D0">
              <w:rPr>
                <w:rFonts w:ascii="Verdana" w:eastAsia="Times New Roman" w:hAnsi="Verdana" w:cs="Times New Roman"/>
                <w:i/>
                <w:iCs/>
                <w:color w:val="000000"/>
                <w:kern w:val="0"/>
                <w:sz w:val="22"/>
                <w:szCs w:val="22"/>
                <w:lang w:val="es-CO" w:eastAsia="es-MX"/>
                <w14:ligatures w14:val="none"/>
              </w:rPr>
              <w:t xml:space="preserve">.” </w:t>
            </w:r>
            <w:r w:rsidRPr="00F557D0">
              <w:rPr>
                <w:rFonts w:ascii="Verdana" w:eastAsia="Times New Roman" w:hAnsi="Verdana" w:cs="Times New Roman"/>
                <w:color w:val="000000"/>
                <w:kern w:val="0"/>
                <w:sz w:val="22"/>
                <w:szCs w:val="22"/>
                <w:lang w:val="es-CO" w:eastAsia="es-MX"/>
                <w14:ligatures w14:val="none"/>
              </w:rPr>
              <w:t>(Subraya y negrillas ajenas al texto original)</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190E3B2C" w14:textId="77777777" w:rsidR="00F557D0" w:rsidRPr="00F557D0" w:rsidRDefault="00F557D0" w:rsidP="00F557D0">
            <w:pPr>
              <w:ind w:left="113" w:right="113"/>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b/>
                <w:bCs/>
                <w:i/>
                <w:iCs/>
                <w:color w:val="000000"/>
                <w:kern w:val="0"/>
                <w:sz w:val="22"/>
                <w:szCs w:val="22"/>
                <w:lang w:val="es-CO" w:eastAsia="es-MX"/>
                <w14:ligatures w14:val="none"/>
              </w:rPr>
              <w:t>ARTÍCULO 59. DIRECCIÓN PARA</w:t>
            </w:r>
          </w:p>
          <w:p w14:paraId="5200CF97" w14:textId="77777777" w:rsidR="00F557D0" w:rsidRPr="00F557D0" w:rsidRDefault="00F557D0" w:rsidP="00F557D0">
            <w:pPr>
              <w:ind w:left="113" w:right="113"/>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b/>
                <w:bCs/>
                <w:i/>
                <w:iCs/>
                <w:color w:val="000000"/>
                <w:kern w:val="0"/>
                <w:sz w:val="22"/>
                <w:szCs w:val="22"/>
                <w:lang w:val="es-CO" w:eastAsia="es-MX"/>
                <w14:ligatures w14:val="none"/>
              </w:rPr>
              <w:t xml:space="preserve">NOTIFICACIONES. </w:t>
            </w:r>
            <w:r w:rsidRPr="00F557D0">
              <w:rPr>
                <w:rFonts w:ascii="Verdana" w:eastAsia="Times New Roman" w:hAnsi="Verdana" w:cs="Times New Roman"/>
                <w:i/>
                <w:iCs/>
                <w:color w:val="000000"/>
                <w:kern w:val="0"/>
                <w:sz w:val="22"/>
                <w:szCs w:val="22"/>
                <w:lang w:val="es-CO" w:eastAsia="es-MX"/>
                <w14:ligatures w14:val="none"/>
              </w:rPr>
              <w:t>El artículo 563 del Estatuto Tributario quedará así:</w:t>
            </w:r>
          </w:p>
          <w:p w14:paraId="0428AE13"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27AAB6B1" w14:textId="77777777" w:rsidR="00F557D0" w:rsidRPr="00F557D0" w:rsidRDefault="00F557D0" w:rsidP="00F557D0">
            <w:pPr>
              <w:ind w:left="113" w:right="113"/>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i/>
                <w:iCs/>
                <w:color w:val="000000"/>
                <w:kern w:val="0"/>
                <w:sz w:val="22"/>
                <w:szCs w:val="22"/>
                <w:lang w:val="es-CO" w:eastAsia="es-MX"/>
                <w14:ligatures w14:val="none"/>
              </w:rPr>
              <w:t>"</w:t>
            </w:r>
            <w:r w:rsidRPr="00F557D0">
              <w:rPr>
                <w:rFonts w:ascii="Verdana" w:eastAsia="Times New Roman" w:hAnsi="Verdana" w:cs="Times New Roman"/>
                <w:b/>
                <w:bCs/>
                <w:i/>
                <w:iCs/>
                <w:color w:val="000000"/>
                <w:kern w:val="0"/>
                <w:sz w:val="22"/>
                <w:szCs w:val="22"/>
                <w:lang w:val="es-CO" w:eastAsia="es-MX"/>
                <w14:ligatures w14:val="none"/>
              </w:rPr>
              <w:t>Artículo 563. Dirección para notificaciones</w:t>
            </w:r>
            <w:r w:rsidRPr="00F557D0">
              <w:rPr>
                <w:rFonts w:ascii="Verdana" w:eastAsia="Times New Roman" w:hAnsi="Verdana" w:cs="Times New Roman"/>
                <w:i/>
                <w:iCs/>
                <w:color w:val="000000"/>
                <w:kern w:val="0"/>
                <w:sz w:val="22"/>
                <w:szCs w:val="22"/>
                <w:lang w:val="es-CO" w:eastAsia="es-MX"/>
                <w14:ligatures w14:val="none"/>
              </w:rPr>
              <w:t>. La notificación de las actuaciones de la Administración Tributaria deberá efectuarse a la dirección informada por el contribuyente, responsable, agente retenedor o declarante, en su última declaración de renta o de ingresos y patrimonio, según el caso, o mediante formato oficial de cambio de dirección; la antigua dirección continuará siendo válida durante los tres (3) meses siguientes, sin perjuicio de la validez de la nueva dirección informada.</w:t>
            </w:r>
          </w:p>
          <w:p w14:paraId="5B2F6915"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44DF4117" w14:textId="77777777" w:rsidR="00F557D0" w:rsidRPr="00F557D0" w:rsidRDefault="00F557D0" w:rsidP="00F557D0">
            <w:pPr>
              <w:ind w:left="113" w:right="113"/>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i/>
                <w:iCs/>
                <w:color w:val="000000"/>
                <w:kern w:val="0"/>
                <w:sz w:val="22"/>
                <w:szCs w:val="22"/>
                <w:lang w:val="es-CO" w:eastAsia="es-MX"/>
                <w14:ligatures w14:val="none"/>
              </w:rPr>
              <w:t>Cuando el contribuyente, responsable, agente retenedor o declarante, no hubiere informado una dirección a la Administración de Impuestos, la actuación administrativa correspondiente se podrá notificar a la que establezca la Administración mediante verificación directa o mediante la utilización de guías telefónicas, directorios y en general de información oficial, comercial o bancaria.</w:t>
            </w:r>
          </w:p>
          <w:p w14:paraId="43D0EFDD"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418EC953" w14:textId="77777777" w:rsidR="00F557D0" w:rsidRPr="00F557D0" w:rsidRDefault="00F557D0" w:rsidP="00F557D0">
            <w:pPr>
              <w:ind w:left="113" w:right="113"/>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b/>
                <w:bCs/>
                <w:i/>
                <w:iCs/>
                <w:color w:val="000000"/>
                <w:kern w:val="0"/>
                <w:sz w:val="22"/>
                <w:szCs w:val="22"/>
                <w:u w:val="single"/>
                <w:lang w:val="es-CO" w:eastAsia="es-MX"/>
                <w14:ligatures w14:val="none"/>
              </w:rPr>
              <w:t>Cuando no haya sido posible establecer la</w:t>
            </w:r>
            <w:r w:rsidRPr="00F557D0">
              <w:rPr>
                <w:rFonts w:ascii="Verdana" w:eastAsia="Times New Roman" w:hAnsi="Verdana" w:cs="Times New Roman"/>
                <w:b/>
                <w:bCs/>
                <w:i/>
                <w:iCs/>
                <w:color w:val="000000"/>
                <w:kern w:val="0"/>
                <w:sz w:val="22"/>
                <w:szCs w:val="22"/>
                <w:lang w:val="es-CO" w:eastAsia="es-MX"/>
                <w14:ligatures w14:val="none"/>
              </w:rPr>
              <w:t xml:space="preserve"> </w:t>
            </w:r>
            <w:r w:rsidRPr="00F557D0">
              <w:rPr>
                <w:rFonts w:ascii="Verdana" w:eastAsia="Times New Roman" w:hAnsi="Verdana" w:cs="Times New Roman"/>
                <w:b/>
                <w:bCs/>
                <w:i/>
                <w:iCs/>
                <w:color w:val="000000"/>
                <w:kern w:val="0"/>
                <w:sz w:val="22"/>
                <w:szCs w:val="22"/>
                <w:u w:val="single"/>
                <w:lang w:val="es-CO" w:eastAsia="es-MX"/>
                <w14:ligatures w14:val="none"/>
              </w:rPr>
              <w:t>dirección del contribuyente, responsable,</w:t>
            </w:r>
            <w:r w:rsidRPr="00F557D0">
              <w:rPr>
                <w:rFonts w:ascii="Verdana" w:eastAsia="Times New Roman" w:hAnsi="Verdana" w:cs="Times New Roman"/>
                <w:b/>
                <w:bCs/>
                <w:i/>
                <w:iCs/>
                <w:color w:val="000000"/>
                <w:kern w:val="0"/>
                <w:sz w:val="22"/>
                <w:szCs w:val="22"/>
                <w:lang w:val="es-CO" w:eastAsia="es-MX"/>
                <w14:ligatures w14:val="none"/>
              </w:rPr>
              <w:t xml:space="preserve"> </w:t>
            </w:r>
            <w:r w:rsidRPr="00F557D0">
              <w:rPr>
                <w:rFonts w:ascii="Verdana" w:eastAsia="Times New Roman" w:hAnsi="Verdana" w:cs="Times New Roman"/>
                <w:b/>
                <w:bCs/>
                <w:i/>
                <w:iCs/>
                <w:color w:val="000000"/>
                <w:kern w:val="0"/>
                <w:sz w:val="22"/>
                <w:szCs w:val="22"/>
                <w:u w:val="single"/>
                <w:lang w:val="es-CO" w:eastAsia="es-MX"/>
                <w14:ligatures w14:val="none"/>
              </w:rPr>
              <w:t>agente retenedor o declarante, por ninguno de</w:t>
            </w:r>
            <w:r w:rsidRPr="00F557D0">
              <w:rPr>
                <w:rFonts w:ascii="Verdana" w:eastAsia="Times New Roman" w:hAnsi="Verdana" w:cs="Times New Roman"/>
                <w:b/>
                <w:bCs/>
                <w:i/>
                <w:iCs/>
                <w:color w:val="000000"/>
                <w:kern w:val="0"/>
                <w:sz w:val="22"/>
                <w:szCs w:val="22"/>
                <w:lang w:val="es-CO" w:eastAsia="es-MX"/>
                <w14:ligatures w14:val="none"/>
              </w:rPr>
              <w:t xml:space="preserve"> </w:t>
            </w:r>
            <w:r w:rsidRPr="00F557D0">
              <w:rPr>
                <w:rFonts w:ascii="Verdana" w:eastAsia="Times New Roman" w:hAnsi="Verdana" w:cs="Times New Roman"/>
                <w:b/>
                <w:bCs/>
                <w:i/>
                <w:iCs/>
                <w:color w:val="000000"/>
                <w:kern w:val="0"/>
                <w:sz w:val="22"/>
                <w:szCs w:val="22"/>
                <w:u w:val="single"/>
                <w:lang w:val="es-CO" w:eastAsia="es-MX"/>
                <w14:ligatures w14:val="none"/>
              </w:rPr>
              <w:t>los medios señalados en el inciso anterior, los</w:t>
            </w:r>
            <w:r w:rsidRPr="00F557D0">
              <w:rPr>
                <w:rFonts w:ascii="Verdana" w:eastAsia="Times New Roman" w:hAnsi="Verdana" w:cs="Times New Roman"/>
                <w:b/>
                <w:bCs/>
                <w:i/>
                <w:iCs/>
                <w:color w:val="000000"/>
                <w:kern w:val="0"/>
                <w:sz w:val="22"/>
                <w:szCs w:val="22"/>
                <w:lang w:val="es-CO" w:eastAsia="es-MX"/>
                <w14:ligatures w14:val="none"/>
              </w:rPr>
              <w:t xml:space="preserve"> </w:t>
            </w:r>
            <w:r w:rsidRPr="00F557D0">
              <w:rPr>
                <w:rFonts w:ascii="Verdana" w:eastAsia="Times New Roman" w:hAnsi="Verdana" w:cs="Times New Roman"/>
                <w:b/>
                <w:bCs/>
                <w:i/>
                <w:iCs/>
                <w:color w:val="000000"/>
                <w:kern w:val="0"/>
                <w:sz w:val="22"/>
                <w:szCs w:val="22"/>
                <w:u w:val="single"/>
                <w:lang w:val="es-CO" w:eastAsia="es-MX"/>
                <w14:ligatures w14:val="none"/>
              </w:rPr>
              <w:t>actos de la Administración le serán</w:t>
            </w:r>
            <w:r w:rsidRPr="00F557D0">
              <w:rPr>
                <w:rFonts w:ascii="Verdana" w:eastAsia="Times New Roman" w:hAnsi="Verdana" w:cs="Times New Roman"/>
                <w:b/>
                <w:bCs/>
                <w:i/>
                <w:iCs/>
                <w:color w:val="000000"/>
                <w:kern w:val="0"/>
                <w:sz w:val="22"/>
                <w:szCs w:val="22"/>
                <w:lang w:val="es-CO" w:eastAsia="es-MX"/>
                <w14:ligatures w14:val="none"/>
              </w:rPr>
              <w:t xml:space="preserve"> </w:t>
            </w:r>
            <w:r w:rsidRPr="00F557D0">
              <w:rPr>
                <w:rFonts w:ascii="Verdana" w:eastAsia="Times New Roman" w:hAnsi="Verdana" w:cs="Times New Roman"/>
                <w:b/>
                <w:bCs/>
                <w:i/>
                <w:iCs/>
                <w:color w:val="000000"/>
                <w:kern w:val="0"/>
                <w:sz w:val="22"/>
                <w:szCs w:val="22"/>
                <w:u w:val="single"/>
                <w:lang w:val="es-CO" w:eastAsia="es-MX"/>
                <w14:ligatures w14:val="none"/>
              </w:rPr>
              <w:t>notificados por medio de la publicación en el</w:t>
            </w:r>
            <w:r w:rsidRPr="00F557D0">
              <w:rPr>
                <w:rFonts w:ascii="Verdana" w:eastAsia="Times New Roman" w:hAnsi="Verdana" w:cs="Times New Roman"/>
                <w:b/>
                <w:bCs/>
                <w:i/>
                <w:iCs/>
                <w:color w:val="000000"/>
                <w:kern w:val="0"/>
                <w:sz w:val="22"/>
                <w:szCs w:val="22"/>
                <w:lang w:val="es-CO" w:eastAsia="es-MX"/>
                <w14:ligatures w14:val="none"/>
              </w:rPr>
              <w:t xml:space="preserve"> </w:t>
            </w:r>
            <w:r w:rsidRPr="00F557D0">
              <w:rPr>
                <w:rFonts w:ascii="Verdana" w:eastAsia="Times New Roman" w:hAnsi="Verdana" w:cs="Times New Roman"/>
                <w:b/>
                <w:bCs/>
                <w:i/>
                <w:iCs/>
                <w:color w:val="000000"/>
                <w:kern w:val="0"/>
                <w:sz w:val="22"/>
                <w:szCs w:val="22"/>
                <w:u w:val="single"/>
                <w:lang w:val="es-CO" w:eastAsia="es-MX"/>
                <w14:ligatures w14:val="none"/>
              </w:rPr>
              <w:t>portal de la web de la DIAN, que deberá incluir</w:t>
            </w:r>
            <w:r w:rsidRPr="00F557D0">
              <w:rPr>
                <w:rFonts w:ascii="Verdana" w:eastAsia="Times New Roman" w:hAnsi="Verdana" w:cs="Times New Roman"/>
                <w:b/>
                <w:bCs/>
                <w:i/>
                <w:iCs/>
                <w:color w:val="000000"/>
                <w:kern w:val="0"/>
                <w:sz w:val="22"/>
                <w:szCs w:val="22"/>
                <w:lang w:val="es-CO" w:eastAsia="es-MX"/>
                <w14:ligatures w14:val="none"/>
              </w:rPr>
              <w:t xml:space="preserve"> </w:t>
            </w:r>
            <w:r w:rsidRPr="00F557D0">
              <w:rPr>
                <w:rFonts w:ascii="Verdana" w:eastAsia="Times New Roman" w:hAnsi="Verdana" w:cs="Times New Roman"/>
                <w:b/>
                <w:bCs/>
                <w:i/>
                <w:iCs/>
                <w:color w:val="000000"/>
                <w:kern w:val="0"/>
                <w:sz w:val="22"/>
                <w:szCs w:val="22"/>
                <w:u w:val="single"/>
                <w:lang w:val="es-CO" w:eastAsia="es-MX"/>
                <w14:ligatures w14:val="none"/>
              </w:rPr>
              <w:t>mecanismos de búsqueda por número identificación personal</w:t>
            </w:r>
            <w:r w:rsidRPr="00F557D0">
              <w:rPr>
                <w:rFonts w:ascii="Verdana" w:eastAsia="Times New Roman" w:hAnsi="Verdana" w:cs="Times New Roman"/>
                <w:i/>
                <w:iCs/>
                <w:color w:val="000000"/>
                <w:kern w:val="0"/>
                <w:sz w:val="22"/>
                <w:szCs w:val="22"/>
                <w:lang w:val="es-CO" w:eastAsia="es-MX"/>
                <w14:ligatures w14:val="none"/>
              </w:rPr>
              <w:t xml:space="preserve">.” </w:t>
            </w:r>
            <w:r w:rsidRPr="00F557D0">
              <w:rPr>
                <w:rFonts w:ascii="Verdana" w:eastAsia="Times New Roman" w:hAnsi="Verdana" w:cs="Times New Roman"/>
                <w:color w:val="000000"/>
                <w:kern w:val="0"/>
                <w:sz w:val="22"/>
                <w:szCs w:val="22"/>
                <w:lang w:val="es-CO" w:eastAsia="es-MX"/>
                <w14:ligatures w14:val="none"/>
              </w:rPr>
              <w:t>(Subraya y negrillas ajenas al texto original)</w:t>
            </w:r>
          </w:p>
        </w:tc>
      </w:tr>
    </w:tbl>
    <w:p w14:paraId="112EBBA0"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48E0AE5C"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Esta comparación permite observar con mayor rigor la reforma legal al artículo 563 del ETN, introducida a través del artículo 59 del Decreto-Ley 19 de 2012, en especial aquella consagrada en su tercer inciso, que si bien inicialmente contemplaba la posibilidad de notificar por medio de publicación en un diario de amplia circulación, cuando no haya sido posible establecer la dirección del contribuyente, responsable, agente retenedor o declarante, la reforma en mención la suprimió para reemplazarla por la notificación a través de la publicación en el portal de la web de la DIAN, que deberá incluir mecanismos de búsqueda por número identificación personal.</w:t>
      </w:r>
    </w:p>
    <w:p w14:paraId="6E8DD2F7"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51E33BE0"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Amén de lo anterior, es menester referir que el artículo 59 del Decreto-Ley 19 de 2012 fue objeto de revisión por parte de la Corte Constitucional a través de la Sentencia C- 012 de 2013</w:t>
      </w:r>
      <w:r w:rsidRPr="00F557D0">
        <w:rPr>
          <w:rFonts w:ascii="Verdana" w:eastAsia="Times New Roman" w:hAnsi="Verdana" w:cs="Times New Roman"/>
          <w:color w:val="000000"/>
          <w:kern w:val="0"/>
          <w:sz w:val="14"/>
          <w:szCs w:val="14"/>
          <w:vertAlign w:val="superscript"/>
          <w:lang w:val="es-CO" w:eastAsia="es-MX"/>
          <w14:ligatures w14:val="none"/>
        </w:rPr>
        <w:t>10</w:t>
      </w:r>
      <w:r w:rsidRPr="00F557D0">
        <w:rPr>
          <w:rFonts w:ascii="Verdana" w:eastAsia="Times New Roman" w:hAnsi="Verdana" w:cs="Times New Roman"/>
          <w:color w:val="000000"/>
          <w:kern w:val="0"/>
          <w:lang w:val="es-CO" w:eastAsia="es-MX"/>
          <w14:ligatures w14:val="none"/>
        </w:rPr>
        <w:t>, el cual fue declarado exequible por los cargos allí examinados, con fundamento en las siguientes conclusiones:</w:t>
      </w:r>
    </w:p>
    <w:p w14:paraId="157CDAAB"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71DD80E0" w14:textId="77777777" w:rsidR="00F557D0" w:rsidRPr="00F557D0" w:rsidRDefault="00F557D0" w:rsidP="00F557D0">
      <w:pPr>
        <w:ind w:left="567"/>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i/>
          <w:iCs/>
          <w:color w:val="000000"/>
          <w:kern w:val="0"/>
          <w:lang w:val="es-CO" w:eastAsia="es-MX"/>
          <w14:ligatures w14:val="none"/>
        </w:rPr>
        <w:t>“7.1. La publicación por aviso en la página web de la DIAN y en un lugar de acceso al público de la misma entidad cuando son devueltas las notificaciones por correo, no desconoce el debido proceso, el orden justo ni el deber de garantizar los derechos de las personas, ya que la previsión legal de este mecanismo de notificación: (i) es desarrollo de la potestad de configuración legislativa -en este caso, extraordinaria- en materia de procedimientos administrativos y del deber constitucional de contribución a la financiación de los gastos del Estado y la sociedad; (</w:t>
      </w:r>
      <w:proofErr w:type="spellStart"/>
      <w:r w:rsidRPr="00F557D0">
        <w:rPr>
          <w:rFonts w:ascii="Verdana" w:eastAsia="Times New Roman" w:hAnsi="Verdana" w:cs="Times New Roman"/>
          <w:i/>
          <w:iCs/>
          <w:color w:val="000000"/>
          <w:kern w:val="0"/>
          <w:lang w:val="es-CO" w:eastAsia="es-MX"/>
          <w14:ligatures w14:val="none"/>
        </w:rPr>
        <w:t>ii</w:t>
      </w:r>
      <w:proofErr w:type="spellEnd"/>
      <w:r w:rsidRPr="00F557D0">
        <w:rPr>
          <w:rFonts w:ascii="Verdana" w:eastAsia="Times New Roman" w:hAnsi="Verdana" w:cs="Times New Roman"/>
          <w:i/>
          <w:iCs/>
          <w:color w:val="000000"/>
          <w:kern w:val="0"/>
          <w:lang w:val="es-CO" w:eastAsia="es-MX"/>
          <w14:ligatures w14:val="none"/>
        </w:rPr>
        <w:t>) no significa un ejercicio arbitrario o desproporcionado de tal potestad de configuración de los procedimientos administrativos y de las notificación de las actuaciones de la administración, ya que solo se activa, como mecanismo subsidiario, a partir del incumplimiento de la carga razonable que recae en el contribuyente, responsable, agente retenedor o declarante de informar a la autoridad tributaria de la dirección en la que desea ser notificado.”</w:t>
      </w:r>
    </w:p>
    <w:p w14:paraId="59A5F866"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4F3757F7"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De forma complementaria, la Corte Constitucional analizó el artículo en mención en la Sentencia C-016 de 2013</w:t>
      </w:r>
      <w:r w:rsidRPr="00F557D0">
        <w:rPr>
          <w:rFonts w:ascii="Verdana" w:eastAsia="Times New Roman" w:hAnsi="Verdana" w:cs="Times New Roman"/>
          <w:color w:val="000000"/>
          <w:kern w:val="0"/>
          <w:sz w:val="14"/>
          <w:szCs w:val="14"/>
          <w:vertAlign w:val="superscript"/>
          <w:lang w:val="es-CO" w:eastAsia="es-MX"/>
          <w14:ligatures w14:val="none"/>
        </w:rPr>
        <w:t>11</w:t>
      </w:r>
      <w:r w:rsidRPr="00F557D0">
        <w:rPr>
          <w:rFonts w:ascii="Verdana" w:eastAsia="Times New Roman" w:hAnsi="Verdana" w:cs="Times New Roman"/>
          <w:color w:val="000000"/>
          <w:kern w:val="0"/>
          <w:lang w:val="es-CO" w:eastAsia="es-MX"/>
          <w14:ligatures w14:val="none"/>
        </w:rPr>
        <w:t>, que de igual manera fue declarado exequible por los cargos presentados, con base en los argumentos que se expresan a continuación:</w:t>
      </w:r>
    </w:p>
    <w:p w14:paraId="193682B0"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5B405940" w14:textId="77777777" w:rsidR="00F557D0" w:rsidRPr="00F557D0" w:rsidRDefault="00F557D0" w:rsidP="00F557D0">
      <w:pPr>
        <w:ind w:left="567"/>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i/>
          <w:iCs/>
          <w:color w:val="000000"/>
          <w:kern w:val="0"/>
          <w:lang w:val="es-CO" w:eastAsia="es-MX"/>
          <w14:ligatures w14:val="none"/>
        </w:rPr>
        <w:t xml:space="preserve">“La consagración de formas electrónicas de notificación por aviso electrónico, en materia tributaria, aduanera y cambiaria, como mecanismo subsidiario para suplir trámites de notificación infructuosos, no resulta violatoria del debido proceso, ni, </w:t>
      </w:r>
      <w:r w:rsidRPr="00F557D0">
        <w:rPr>
          <w:rFonts w:ascii="Verdana" w:eastAsia="Times New Roman" w:hAnsi="Verdana" w:cs="Times New Roman"/>
          <w:i/>
          <w:iCs/>
          <w:color w:val="000000"/>
          <w:kern w:val="0"/>
          <w:lang w:val="es-CO" w:eastAsia="es-MX"/>
          <w14:ligatures w14:val="none"/>
        </w:rPr>
        <w:lastRenderedPageBreak/>
        <w:t>puntualmente, del derecho de defensa. En materia de notificaciones por correo, resulta constitucionalmente admisible la inserción del aviso en la página electrónica de la DIAN, cuando el correo sea devuelto; pero ello no releva a la Administración de las consecuencias, cuando la devolución del correo acontezca por razones imputables a la entidad estatal. En consecuencia, los artículos 59, 60, 61 y 62 del Decreto Ley 019 de 2012 se encuentran ajustados al Art. 29 de la Constitución Política.”</w:t>
      </w:r>
    </w:p>
    <w:p w14:paraId="4EACD8BF"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5803F1D3"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Por su parte, el artículo 565 del ETN también ha sido objeto de varias reformas legales, entre las cuales se destaca la efectuada mediante el artículo 45 de la Ley 1111 de 2006</w:t>
      </w:r>
      <w:r w:rsidRPr="00F557D0">
        <w:rPr>
          <w:rFonts w:ascii="Verdana" w:eastAsia="Times New Roman" w:hAnsi="Verdana" w:cs="Times New Roman"/>
          <w:color w:val="000000"/>
          <w:kern w:val="0"/>
          <w:sz w:val="14"/>
          <w:szCs w:val="14"/>
          <w:vertAlign w:val="superscript"/>
          <w:lang w:val="es-CO" w:eastAsia="es-MX"/>
          <w14:ligatures w14:val="none"/>
        </w:rPr>
        <w:t>12</w:t>
      </w:r>
      <w:r w:rsidRPr="00F557D0">
        <w:rPr>
          <w:rFonts w:ascii="Verdana" w:eastAsia="Times New Roman" w:hAnsi="Verdana" w:cs="Times New Roman"/>
          <w:color w:val="000000"/>
          <w:kern w:val="0"/>
          <w:lang w:val="es-CO" w:eastAsia="es-MX"/>
          <w14:ligatures w14:val="none"/>
        </w:rPr>
        <w:t>, que estableció la posibilidad de notificar por medio de publicación en un periódico de circulación nacional, cuando no haya sido posible establecer la dirección del contribuyente, responsable, agente retenedor o declarante por ninguno de los medios señalados por dicha norma, así:</w:t>
      </w:r>
    </w:p>
    <w:p w14:paraId="2A610EB6" w14:textId="77777777" w:rsidR="00F557D0" w:rsidRPr="00F557D0" w:rsidRDefault="00F557D0" w:rsidP="00F557D0">
      <w:pPr>
        <w:rPr>
          <w:rFonts w:ascii="Times New Roman" w:eastAsia="Times New Roman" w:hAnsi="Times New Roman" w:cs="Times New Roman"/>
          <w:kern w:val="0"/>
          <w:lang w:val="es-CO" w:eastAsia="es-MX"/>
          <w14:ligatures w14:val="none"/>
        </w:rPr>
      </w:pPr>
    </w:p>
    <w:tbl>
      <w:tblPr>
        <w:tblW w:w="0" w:type="auto"/>
        <w:tblCellMar>
          <w:top w:w="15" w:type="dxa"/>
          <w:left w:w="15" w:type="dxa"/>
          <w:bottom w:w="15" w:type="dxa"/>
          <w:right w:w="15" w:type="dxa"/>
        </w:tblCellMar>
        <w:tblLook w:val="04A0" w:firstRow="1" w:lastRow="0" w:firstColumn="1" w:lastColumn="0" w:noHBand="0" w:noVBand="1"/>
      </w:tblPr>
      <w:tblGrid>
        <w:gridCol w:w="4353"/>
        <w:gridCol w:w="4475"/>
      </w:tblGrid>
      <w:tr w:rsidR="00F557D0" w:rsidRPr="00F557D0" w14:paraId="7AE15000" w14:textId="77777777">
        <w:trPr>
          <w:trHeight w:val="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687E1489" w14:textId="77777777" w:rsidR="00F557D0" w:rsidRPr="00F557D0" w:rsidRDefault="00F557D0" w:rsidP="00F557D0">
            <w:pPr>
              <w:ind w:left="57" w:right="57"/>
              <w:jc w:val="center"/>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b/>
                <w:bCs/>
                <w:color w:val="000000"/>
                <w:kern w:val="0"/>
                <w:sz w:val="22"/>
                <w:szCs w:val="22"/>
                <w:lang w:val="es-CO" w:eastAsia="es-MX"/>
                <w14:ligatures w14:val="none"/>
              </w:rPr>
              <w:t>Texto original del artículo 565 del ETN</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7E6C35B" w14:textId="77777777" w:rsidR="00F557D0" w:rsidRPr="00F557D0" w:rsidRDefault="00F557D0" w:rsidP="00F557D0">
            <w:pPr>
              <w:ind w:left="57" w:right="57"/>
              <w:jc w:val="center"/>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b/>
                <w:bCs/>
                <w:color w:val="000000"/>
                <w:kern w:val="0"/>
                <w:sz w:val="22"/>
                <w:szCs w:val="22"/>
                <w:lang w:val="es-CO" w:eastAsia="es-MX"/>
                <w14:ligatures w14:val="none"/>
              </w:rPr>
              <w:t>Reforma del artículo 565 del ETN (Artículo 45 del Ley 1111 de 2006)</w:t>
            </w:r>
          </w:p>
        </w:tc>
      </w:tr>
      <w:tr w:rsidR="00F557D0" w:rsidRPr="00F557D0" w14:paraId="72EE562F" w14:textId="77777777">
        <w:trPr>
          <w:trHeight w:val="20"/>
        </w:trPr>
        <w:tc>
          <w:tcPr>
            <w:tcW w:w="0" w:type="auto"/>
            <w:tcBorders>
              <w:top w:val="single" w:sz="4" w:space="0" w:color="000000"/>
              <w:left w:val="single" w:sz="4" w:space="0" w:color="000000"/>
              <w:bottom w:val="single" w:sz="4" w:space="0" w:color="000000"/>
              <w:right w:val="single" w:sz="4" w:space="0" w:color="000000"/>
            </w:tcBorders>
            <w:vAlign w:val="center"/>
            <w:hideMark/>
          </w:tcPr>
          <w:p w14:paraId="30C6F6F4" w14:textId="77777777" w:rsidR="00F557D0" w:rsidRPr="00F557D0" w:rsidRDefault="00F557D0" w:rsidP="00F557D0">
            <w:pPr>
              <w:ind w:left="57" w:right="57"/>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i/>
                <w:iCs/>
                <w:color w:val="000000"/>
                <w:kern w:val="0"/>
                <w:sz w:val="22"/>
                <w:szCs w:val="22"/>
                <w:lang w:val="es-CO" w:eastAsia="es-MX"/>
                <w14:ligatures w14:val="none"/>
              </w:rPr>
              <w:t>“</w:t>
            </w:r>
            <w:r w:rsidRPr="00F557D0">
              <w:rPr>
                <w:rFonts w:ascii="Verdana" w:eastAsia="Times New Roman" w:hAnsi="Verdana" w:cs="Times New Roman"/>
                <w:b/>
                <w:bCs/>
                <w:i/>
                <w:iCs/>
                <w:color w:val="000000"/>
                <w:kern w:val="0"/>
                <w:sz w:val="22"/>
                <w:szCs w:val="22"/>
                <w:lang w:val="es-CO" w:eastAsia="es-MX"/>
                <w14:ligatures w14:val="none"/>
              </w:rPr>
              <w:t xml:space="preserve">ARTÍCULO 565. </w:t>
            </w:r>
            <w:r w:rsidRPr="00F557D0">
              <w:rPr>
                <w:rFonts w:ascii="Verdana" w:eastAsia="Times New Roman" w:hAnsi="Verdana" w:cs="Times New Roman"/>
                <w:i/>
                <w:iCs/>
                <w:color w:val="000000"/>
                <w:kern w:val="0"/>
                <w:sz w:val="22"/>
                <w:szCs w:val="22"/>
                <w:lang w:val="es-CO" w:eastAsia="es-MX"/>
                <w14:ligatures w14:val="none"/>
              </w:rPr>
              <w:t>Los requerimientos, autos que ordenen inspecciones tributarias, emplazamientos, citaciones, traslados de cargos, resoluciones en que se impongan sanciones, liquidaciones oficiales y demás actuaciones administrativas, deben notificarse por correo o personalmente.</w:t>
            </w:r>
          </w:p>
          <w:p w14:paraId="5BFCB825"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0931448D" w14:textId="77777777" w:rsidR="00F557D0" w:rsidRPr="00F557D0" w:rsidRDefault="00F557D0" w:rsidP="00F557D0">
            <w:pPr>
              <w:ind w:left="57" w:right="57"/>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i/>
                <w:iCs/>
                <w:color w:val="000000"/>
                <w:kern w:val="0"/>
                <w:sz w:val="22"/>
                <w:szCs w:val="22"/>
                <w:lang w:val="es-CO" w:eastAsia="es-MX"/>
                <w14:ligatures w14:val="none"/>
              </w:rPr>
              <w:t>Las providencias que decidan recursos se notificarán personalmente, o por edicto si el contribuyente, responsable, agente retenedor o declarante, no compareciere dentro del término de los diez (10) días siguientes, contados a partir de la fecha de introducción al correo del aviso de citación.”</w:t>
            </w:r>
          </w:p>
        </w:tc>
        <w:tc>
          <w:tcPr>
            <w:tcW w:w="0" w:type="auto"/>
            <w:tcBorders>
              <w:top w:val="single" w:sz="4" w:space="0" w:color="000000"/>
              <w:left w:val="single" w:sz="4" w:space="0" w:color="000000"/>
              <w:bottom w:val="single" w:sz="4" w:space="0" w:color="000000"/>
              <w:right w:val="single" w:sz="4" w:space="0" w:color="000000"/>
            </w:tcBorders>
            <w:vAlign w:val="center"/>
            <w:hideMark/>
          </w:tcPr>
          <w:p w14:paraId="421F9849" w14:textId="77777777" w:rsidR="00F557D0" w:rsidRPr="00F557D0" w:rsidRDefault="00F557D0" w:rsidP="00F557D0">
            <w:pPr>
              <w:ind w:left="57" w:right="57"/>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i/>
                <w:iCs/>
                <w:color w:val="000000"/>
                <w:kern w:val="0"/>
                <w:sz w:val="22"/>
                <w:szCs w:val="22"/>
                <w:lang w:val="es-CO" w:eastAsia="es-MX"/>
                <w14:ligatures w14:val="none"/>
              </w:rPr>
              <w:t>“</w:t>
            </w:r>
            <w:r w:rsidRPr="00F557D0">
              <w:rPr>
                <w:rFonts w:ascii="Verdana" w:eastAsia="Times New Roman" w:hAnsi="Verdana" w:cs="Times New Roman"/>
                <w:b/>
                <w:bCs/>
                <w:i/>
                <w:iCs/>
                <w:color w:val="000000"/>
                <w:kern w:val="0"/>
                <w:sz w:val="22"/>
                <w:szCs w:val="22"/>
                <w:lang w:val="es-CO" w:eastAsia="es-MX"/>
                <w14:ligatures w14:val="none"/>
              </w:rPr>
              <w:t xml:space="preserve">ARTÍCULO 45. </w:t>
            </w:r>
            <w:r w:rsidRPr="00F557D0">
              <w:rPr>
                <w:rFonts w:ascii="Verdana" w:eastAsia="Times New Roman" w:hAnsi="Verdana" w:cs="Times New Roman"/>
                <w:i/>
                <w:iCs/>
                <w:color w:val="000000"/>
                <w:kern w:val="0"/>
                <w:sz w:val="22"/>
                <w:szCs w:val="22"/>
                <w:lang w:val="es-CO" w:eastAsia="es-MX"/>
                <w14:ligatures w14:val="none"/>
              </w:rPr>
              <w:t>Modificase el artículo 565 del Estatuto Tributario, el cual queda así:</w:t>
            </w:r>
          </w:p>
          <w:p w14:paraId="5121F1CC"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1E4611AD" w14:textId="77777777" w:rsidR="00F557D0" w:rsidRPr="00F557D0" w:rsidRDefault="00F557D0" w:rsidP="00F557D0">
            <w:pPr>
              <w:ind w:left="57" w:right="57"/>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i/>
                <w:iCs/>
                <w:color w:val="000000"/>
                <w:kern w:val="0"/>
                <w:sz w:val="22"/>
                <w:szCs w:val="22"/>
                <w:lang w:val="es-CO" w:eastAsia="es-MX"/>
                <w14:ligatures w14:val="none"/>
              </w:rPr>
              <w:t>“</w:t>
            </w:r>
            <w:r w:rsidRPr="00F557D0">
              <w:rPr>
                <w:rFonts w:ascii="Verdana" w:eastAsia="Times New Roman" w:hAnsi="Verdana" w:cs="Times New Roman"/>
                <w:b/>
                <w:bCs/>
                <w:i/>
                <w:iCs/>
                <w:color w:val="000000"/>
                <w:kern w:val="0"/>
                <w:sz w:val="22"/>
                <w:szCs w:val="22"/>
                <w:lang w:val="es-CO" w:eastAsia="es-MX"/>
                <w14:ligatures w14:val="none"/>
              </w:rPr>
              <w:t>Artículo 565. Formas de notificación de las actuaciones de la administración tributaria</w:t>
            </w:r>
            <w:r w:rsidRPr="00F557D0">
              <w:rPr>
                <w:rFonts w:ascii="Verdana" w:eastAsia="Times New Roman" w:hAnsi="Verdana" w:cs="Times New Roman"/>
                <w:i/>
                <w:iCs/>
                <w:color w:val="000000"/>
                <w:kern w:val="0"/>
                <w:sz w:val="22"/>
                <w:szCs w:val="22"/>
                <w:lang w:val="es-CO" w:eastAsia="es-MX"/>
                <w14:ligatures w14:val="none"/>
              </w:rPr>
              <w:t>. Los requerimientos, autos que ordenen inspecciones o verificaciones tributarias, emplazamientos, citaciones, resoluciones en que se impongan sanciones, liquidaciones oficiales y demás actuaciones administrativas, deben notificarse de manera electrónica, personalmente o a través de la red oficial de correos o de cualquier servicio de mensajería especializada debidamente autorizada por la autoridad competente.</w:t>
            </w:r>
          </w:p>
          <w:p w14:paraId="0120E947"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66A1EA95" w14:textId="77777777" w:rsidR="00F557D0" w:rsidRPr="00F557D0" w:rsidRDefault="00F557D0" w:rsidP="00F557D0">
            <w:pPr>
              <w:ind w:left="57" w:right="57"/>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i/>
                <w:iCs/>
                <w:color w:val="000000"/>
                <w:kern w:val="0"/>
                <w:sz w:val="22"/>
                <w:szCs w:val="22"/>
                <w:lang w:val="es-CO" w:eastAsia="es-MX"/>
                <w14:ligatures w14:val="none"/>
              </w:rPr>
              <w:t xml:space="preserve">Las providencias que decidan recursos se notificarán personalmente, o por edicto si el contribuyente, responsable, agente retenedor o declarante, no compareciere dentro del término de los diez (10) días siguientes, contados a partir de la fecha de introducción al </w:t>
            </w:r>
            <w:r w:rsidRPr="00F557D0">
              <w:rPr>
                <w:rFonts w:ascii="Verdana" w:eastAsia="Times New Roman" w:hAnsi="Verdana" w:cs="Times New Roman"/>
                <w:i/>
                <w:iCs/>
                <w:color w:val="000000"/>
                <w:kern w:val="0"/>
                <w:sz w:val="22"/>
                <w:szCs w:val="22"/>
                <w:lang w:val="es-CO" w:eastAsia="es-MX"/>
                <w14:ligatures w14:val="none"/>
              </w:rPr>
              <w:lastRenderedPageBreak/>
              <w:t>correo del aviso de citación. En este evento también procede la notificación electrónica.</w:t>
            </w:r>
          </w:p>
          <w:p w14:paraId="6CB15342"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69D3FD51" w14:textId="77777777" w:rsidR="00F557D0" w:rsidRPr="00F557D0" w:rsidRDefault="00F557D0" w:rsidP="00F557D0">
            <w:pPr>
              <w:ind w:left="57" w:right="57"/>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b/>
                <w:bCs/>
                <w:i/>
                <w:iCs/>
                <w:color w:val="000000"/>
                <w:kern w:val="0"/>
                <w:sz w:val="22"/>
                <w:szCs w:val="22"/>
                <w:lang w:val="es-CO" w:eastAsia="es-MX"/>
                <w14:ligatures w14:val="none"/>
              </w:rPr>
              <w:t xml:space="preserve">PARÁGRAFO 1o. </w:t>
            </w:r>
            <w:r w:rsidRPr="00F557D0">
              <w:rPr>
                <w:rFonts w:ascii="Verdana" w:eastAsia="Times New Roman" w:hAnsi="Verdana" w:cs="Times New Roman"/>
                <w:i/>
                <w:iCs/>
                <w:color w:val="000000"/>
                <w:kern w:val="0"/>
                <w:sz w:val="22"/>
                <w:szCs w:val="22"/>
                <w:lang w:val="es-CO" w:eastAsia="es-MX"/>
                <w14:ligatures w14:val="none"/>
              </w:rPr>
              <w:t>La notificación por correo de las actuaciones de la administración, en materia tributaria, aduanera o cambiaria se practicará mediante entrega de una copia del acto correspondiente en la última dirección informada por el contribuyente, responsable, agente retenedor o declarante en el Registro Único Tributario - RUT. En estos eventos también procederá la notificación electrónica.</w:t>
            </w:r>
          </w:p>
          <w:p w14:paraId="04A9ED50"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0601C439" w14:textId="77777777" w:rsidR="00F557D0" w:rsidRPr="00F557D0" w:rsidRDefault="00F557D0" w:rsidP="00F557D0">
            <w:pPr>
              <w:ind w:left="57" w:right="57"/>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b/>
                <w:bCs/>
                <w:i/>
                <w:iCs/>
                <w:color w:val="000000"/>
                <w:kern w:val="0"/>
                <w:sz w:val="22"/>
                <w:szCs w:val="22"/>
                <w:u w:val="single"/>
                <w:lang w:val="es-CO" w:eastAsia="es-MX"/>
                <w14:ligatures w14:val="none"/>
              </w:rPr>
              <w:t>Cuando el contribuyente, responsable, agente retenedor o declarante, no hubiere informado una dirección a la administración tributaria, la actuación administrativa correspondiente se podrá notificar a la que establezca la administración mediante verificación directa o mediante la utilización de guías telefónicas, directorios y en general de información oficial, comercial o bancaria. Cuando no haya sido posible establecer la dirección del contribuyente, responsable, agente retenedor o declarante, por ninguno de los medios señalados, los actos de la administración le serán notificados por medio de publicación en un periódico de circulación nacional.</w:t>
            </w:r>
          </w:p>
          <w:p w14:paraId="0CD16DFE"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59754DFD" w14:textId="77777777" w:rsidR="00F557D0" w:rsidRPr="00F557D0" w:rsidRDefault="00F557D0" w:rsidP="00F557D0">
            <w:pPr>
              <w:ind w:left="57" w:right="57"/>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i/>
                <w:iCs/>
                <w:color w:val="000000"/>
                <w:kern w:val="0"/>
                <w:sz w:val="22"/>
                <w:szCs w:val="22"/>
                <w:lang w:val="es-CO" w:eastAsia="es-MX"/>
                <w14:ligatures w14:val="none"/>
              </w:rPr>
              <w:t>Cuando la notificación se efectúe a una dirección distinta a la informada en el Registro Único Tributario, RUT, habrá lugar a corregir el error dentro del término previsto para la notificación del acto.</w:t>
            </w:r>
          </w:p>
          <w:p w14:paraId="043DBCE7"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4F84A32A" w14:textId="77777777" w:rsidR="00F557D0" w:rsidRPr="00F557D0" w:rsidRDefault="00F557D0" w:rsidP="00F557D0">
            <w:pPr>
              <w:ind w:left="57" w:right="57"/>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b/>
                <w:bCs/>
                <w:i/>
                <w:iCs/>
                <w:color w:val="000000"/>
                <w:kern w:val="0"/>
                <w:sz w:val="22"/>
                <w:szCs w:val="22"/>
                <w:lang w:val="es-CO" w:eastAsia="es-MX"/>
                <w14:ligatures w14:val="none"/>
              </w:rPr>
              <w:t xml:space="preserve">PARÁGRAFO 2o. </w:t>
            </w:r>
            <w:r w:rsidRPr="00F557D0">
              <w:rPr>
                <w:rFonts w:ascii="Verdana" w:eastAsia="Times New Roman" w:hAnsi="Verdana" w:cs="Times New Roman"/>
                <w:i/>
                <w:iCs/>
                <w:color w:val="000000"/>
                <w:kern w:val="0"/>
                <w:sz w:val="22"/>
                <w:szCs w:val="22"/>
                <w:lang w:val="es-CO" w:eastAsia="es-MX"/>
                <w14:ligatures w14:val="none"/>
              </w:rPr>
              <w:t xml:space="preserve">Cuando durante los procesos que se adelanten ante la </w:t>
            </w:r>
            <w:r w:rsidRPr="00F557D0">
              <w:rPr>
                <w:rFonts w:ascii="Verdana" w:eastAsia="Times New Roman" w:hAnsi="Verdana" w:cs="Times New Roman"/>
                <w:i/>
                <w:iCs/>
                <w:color w:val="000000"/>
                <w:kern w:val="0"/>
                <w:sz w:val="22"/>
                <w:szCs w:val="22"/>
                <w:lang w:val="es-CO" w:eastAsia="es-MX"/>
                <w14:ligatures w14:val="none"/>
              </w:rPr>
              <w:lastRenderedPageBreak/>
              <w:t>administración tributaria, el contribuyente, responsable, agente retenedor o declarante, actúe a través de apoderado, la notificación se surtirá a la última dirección que dicho apoderado tenga registrada en el Registro Único Tributario, RUT.</w:t>
            </w:r>
          </w:p>
          <w:p w14:paraId="2E745368"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3FB08BC2" w14:textId="77777777" w:rsidR="00F557D0" w:rsidRPr="00F557D0" w:rsidRDefault="00F557D0" w:rsidP="00F557D0">
            <w:pPr>
              <w:ind w:left="57" w:right="57"/>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b/>
                <w:bCs/>
                <w:i/>
                <w:iCs/>
                <w:color w:val="000000"/>
                <w:kern w:val="0"/>
                <w:sz w:val="22"/>
                <w:szCs w:val="22"/>
                <w:lang w:val="es-CO" w:eastAsia="es-MX"/>
                <w14:ligatures w14:val="none"/>
              </w:rPr>
              <w:t xml:space="preserve">PARÁGRAFO 3o. </w:t>
            </w:r>
            <w:r w:rsidRPr="00F557D0">
              <w:rPr>
                <w:rFonts w:ascii="Verdana" w:eastAsia="Times New Roman" w:hAnsi="Verdana" w:cs="Times New Roman"/>
                <w:i/>
                <w:iCs/>
                <w:color w:val="000000"/>
                <w:kern w:val="0"/>
                <w:sz w:val="22"/>
                <w:szCs w:val="22"/>
                <w:lang w:val="es-CO" w:eastAsia="es-MX"/>
                <w14:ligatures w14:val="none"/>
              </w:rPr>
              <w:t xml:space="preserve">Las actuaciones y notificaciones que se realicen a través de los servicios informáticos electrónicos de la Dirección de Impuestos y Aduanas Nacionales como certificadora digital cerrada serán gratuitos, en los términos de la Ley 527 de 1999 y sus disposiciones reglamentarias”. </w:t>
            </w:r>
            <w:r w:rsidRPr="00F557D0">
              <w:rPr>
                <w:rFonts w:ascii="Verdana" w:eastAsia="Times New Roman" w:hAnsi="Verdana" w:cs="Times New Roman"/>
                <w:color w:val="000000"/>
                <w:kern w:val="0"/>
                <w:sz w:val="22"/>
                <w:szCs w:val="22"/>
                <w:lang w:val="es-CO" w:eastAsia="es-MX"/>
                <w14:ligatures w14:val="none"/>
              </w:rPr>
              <w:t>(Subraya y negrillas ajenas al texto original)</w:t>
            </w:r>
          </w:p>
        </w:tc>
      </w:tr>
    </w:tbl>
    <w:p w14:paraId="3C6D3891"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451FF74E"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De manera que este análisis nos lleva a concluir que el inciso quinto del artículo 565 del ETN, aparte de su inclusión concretada en el artículo 45 del Ley 1111 de 2006, no ha sido objeto de modificaciones legales posteriores, aspecto que sin duda alguna genera una contradicción con el inciso tercero del artículo 563 del ETN, modificado por el artículo 59 del Decreto-Ley 19 de 2012, que suprimió la notificación por medio de publicación en un periódico de circulación nacional, para reemplazarla por la publicación del acto administrativo en el sitio web de la entidad.</w:t>
      </w:r>
    </w:p>
    <w:p w14:paraId="765F4300"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3F9A44C5"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Así las cosas, teniendo en cuenta que la reforma al inciso tercero del artículo 563 del ETN, llevada a cabo por el artículo 59 del Decreto-Ley 19 de 2012, es posterior a la reforma del inciso quinto del artículo 565 del ETN, materializada por el artículo 45 del Ley 1111 de 2006, es menester dar aplicación al criterio cronológico o principio de prevalencia de ley posterior, con fundamento en lo dispuesto en el artículo 2 de la Ley 153 de 1887</w:t>
      </w:r>
      <w:r w:rsidRPr="00F557D0">
        <w:rPr>
          <w:rFonts w:ascii="Verdana" w:eastAsia="Times New Roman" w:hAnsi="Verdana" w:cs="Times New Roman"/>
          <w:color w:val="000000"/>
          <w:kern w:val="0"/>
          <w:sz w:val="14"/>
          <w:szCs w:val="14"/>
          <w:vertAlign w:val="superscript"/>
          <w:lang w:val="es-CO" w:eastAsia="es-MX"/>
          <w14:ligatures w14:val="none"/>
        </w:rPr>
        <w:t>13</w:t>
      </w:r>
      <w:r w:rsidRPr="00F557D0">
        <w:rPr>
          <w:rFonts w:ascii="Verdana" w:eastAsia="Times New Roman" w:hAnsi="Verdana" w:cs="Times New Roman"/>
          <w:color w:val="000000"/>
          <w:kern w:val="0"/>
          <w:lang w:val="es-CO" w:eastAsia="es-MX"/>
          <w14:ligatures w14:val="none"/>
        </w:rPr>
        <w:t>, el cual establece que la ley posterior prevalece sobre la anterior, y que en caso de que una ley posterior sea contraria a otra anterior, se aplicará la ley posterior, al igual que lo expresado en esta materia por la jurisprudencia de la Corte Constitucional</w:t>
      </w:r>
      <w:r w:rsidRPr="00F557D0">
        <w:rPr>
          <w:rFonts w:ascii="Verdana" w:eastAsia="Times New Roman" w:hAnsi="Verdana" w:cs="Times New Roman"/>
          <w:color w:val="000000"/>
          <w:kern w:val="0"/>
          <w:sz w:val="14"/>
          <w:szCs w:val="14"/>
          <w:vertAlign w:val="superscript"/>
          <w:lang w:val="es-CO" w:eastAsia="es-MX"/>
          <w14:ligatures w14:val="none"/>
        </w:rPr>
        <w:t>14</w:t>
      </w:r>
      <w:r w:rsidRPr="00F557D0">
        <w:rPr>
          <w:rFonts w:ascii="Verdana" w:eastAsia="Times New Roman" w:hAnsi="Verdana" w:cs="Times New Roman"/>
          <w:color w:val="000000"/>
          <w:kern w:val="0"/>
          <w:lang w:val="es-CO" w:eastAsia="es-MX"/>
          <w14:ligatures w14:val="none"/>
        </w:rPr>
        <w:t>.</w:t>
      </w:r>
    </w:p>
    <w:p w14:paraId="1C4D1774"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54898778"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En tal virtud, debe entenderse que cuando se requiere la notificación de un acto administrativo al deudor, y se han agotado todos los medios que permitan establecer una dirección física o electrónica para dicho fin sin que esto haya sido posible, el acto deberá notificarse conforme a lo indicado en el inciso tercero del artículo 563 del ETN, esto es, mediante su publicación en el portal web de la entidad, la cual deberá incluir mecanismos de búsqueda por número identificación personal.</w:t>
      </w:r>
    </w:p>
    <w:p w14:paraId="3B1EE7A0"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2BA8C795" w14:textId="77777777" w:rsidR="00F557D0" w:rsidRPr="00F557D0" w:rsidRDefault="00F557D0" w:rsidP="00F557D0">
      <w:pPr>
        <w:jc w:val="both"/>
        <w:outlineLvl w:val="0"/>
        <w:rPr>
          <w:rFonts w:ascii="Times New Roman" w:eastAsia="Times New Roman" w:hAnsi="Times New Roman" w:cs="Times New Roman"/>
          <w:b/>
          <w:bCs/>
          <w:kern w:val="36"/>
          <w:sz w:val="48"/>
          <w:szCs w:val="48"/>
          <w:lang w:val="es-CO" w:eastAsia="es-MX"/>
          <w14:ligatures w14:val="none"/>
        </w:rPr>
      </w:pPr>
      <w:r w:rsidRPr="00F557D0">
        <w:rPr>
          <w:rFonts w:ascii="Verdana" w:eastAsia="Times New Roman" w:hAnsi="Verdana" w:cs="Times New Roman"/>
          <w:b/>
          <w:bCs/>
          <w:color w:val="000000"/>
          <w:kern w:val="36"/>
          <w:lang w:val="es-CO" w:eastAsia="es-MX"/>
          <w14:ligatures w14:val="none"/>
        </w:rPr>
        <w:t>II. CONCLUSIONES</w:t>
      </w:r>
    </w:p>
    <w:p w14:paraId="04FD6C89"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0939693D"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Con base en las consideraciones expuestas, se responden los interrogantes planteados en los siguientes términos:</w:t>
      </w:r>
    </w:p>
    <w:p w14:paraId="7A86F5BD"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268E56C9"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b/>
          <w:bCs/>
          <w:i/>
          <w:iCs/>
          <w:color w:val="000000"/>
          <w:kern w:val="0"/>
          <w:lang w:val="es-CO" w:eastAsia="es-MX"/>
          <w14:ligatures w14:val="none"/>
        </w:rPr>
        <w:t>“Cuando en trámite de un proceso administrativo de cobro coactivo de obligaciones no tributarias se requiere la notificación de un acto administrativo al deudor y no ha sido posible establecer una dirección para dicho fin: ¿el acto administrativo debe notificarse mediante la publicación en la página web oficial de la SDH, en la forma prevista por el artículo 563 –inciso 3 - del Estatuto Tributario Nacional, o mediante la publicación en periódico de circulación nacional como lo dispone el artículo 565 - inciso 5 - del mismo estatuto”</w:t>
      </w:r>
    </w:p>
    <w:p w14:paraId="3DA431EA"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5F1BB021"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Partiendo de la base que los conceptos expedidos por esta Dirección proporcionan criterios e interpretaciones jurídicas generales sobre los temas planteados, y que por ende, corresponde a la dependencia consultante adoptar las medidas tendientes a garantizar los derechos de los contribuyentes, entre ellos el debido proceso y el principio de publicidad, se considera que cuando se requiere la notificación de un acto administrativo al deudor, y se han agotado todos los medios que permitan establecer una dirección física o electrónica para dicho fin sin que esto haya sido posible, el acto deberá notificarse conforme a lo indicado en el inciso tercero del artículo 563 del ETN, esto es, mediante su publicación en el portal web de la entidad, la cual deberá incluir mecanismos de búsqueda por número identificación personal, por las razones jurídicas anteriormente expresadas.</w:t>
      </w:r>
    </w:p>
    <w:p w14:paraId="4440BED3"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02E58085"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En procura de impulsar la política de mejoramiento continuo y progresivo en el procedimiento de Asesoría Jurídica, por favor verifique si el concepto emitido contribuyó a resolver de fondo el problema jurídico planteado, reiterando en todo caso que, el presente documento tiene la calidad de concepto, y su alcance es el previsto en el artículo 28 del Código de Procedimiento Administrativo y de lo Contencioso Administrativo, sustituido por el artículo 1° de la Ley 1755 de 2015</w:t>
      </w:r>
      <w:hyperlink r:id="rId5" w:anchor="heading=h.v6z0i9fa90fb" w:history="1">
        <w:r w:rsidRPr="00F557D0">
          <w:rPr>
            <w:rFonts w:ascii="Verdana" w:eastAsia="Times New Roman" w:hAnsi="Verdana" w:cs="Times New Roman"/>
            <w:color w:val="000000"/>
            <w:kern w:val="0"/>
            <w:sz w:val="14"/>
            <w:szCs w:val="14"/>
            <w:u w:val="single"/>
            <w:vertAlign w:val="superscript"/>
            <w:lang w:val="es-CO" w:eastAsia="es-MX"/>
            <w14:ligatures w14:val="none"/>
          </w:rPr>
          <w:t>15.</w:t>
        </w:r>
      </w:hyperlink>
    </w:p>
    <w:p w14:paraId="398015F4"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01D70EDC"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De no ser así, informe de manera inmediata a la Dirección Jurídica. </w:t>
      </w:r>
    </w:p>
    <w:p w14:paraId="3261B08A"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68BE74D3"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Cordialmente,</w:t>
      </w:r>
    </w:p>
    <w:p w14:paraId="6D94B990"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7D9FAD43"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MARCELA GÓMEZ MARTÍNEZ</w:t>
      </w:r>
    </w:p>
    <w:p w14:paraId="71C6EF61"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Directora Jurídica</w:t>
      </w:r>
    </w:p>
    <w:p w14:paraId="77DA48CE"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r w:rsidRPr="00F557D0">
        <w:rPr>
          <w:rFonts w:ascii="Verdana" w:eastAsia="Times New Roman" w:hAnsi="Verdana" w:cs="Times New Roman"/>
          <w:color w:val="000000"/>
          <w:kern w:val="0"/>
          <w:lang w:val="es-CO" w:eastAsia="es-MX"/>
          <w14:ligatures w14:val="none"/>
        </w:rPr>
        <w:t>Despacho del director jurídico </w:t>
      </w:r>
    </w:p>
    <w:p w14:paraId="0C280EAF" w14:textId="77777777" w:rsidR="00F557D0" w:rsidRPr="00F557D0" w:rsidRDefault="00F557D0" w:rsidP="00F557D0">
      <w:pPr>
        <w:jc w:val="both"/>
        <w:rPr>
          <w:rFonts w:ascii="Times New Roman" w:eastAsia="Times New Roman" w:hAnsi="Times New Roman" w:cs="Times New Roman"/>
          <w:kern w:val="0"/>
          <w:lang w:val="es-CO" w:eastAsia="es-MX"/>
          <w14:ligatures w14:val="none"/>
        </w:rPr>
      </w:pPr>
      <w:hyperlink r:id="rId6" w:history="1">
        <w:r w:rsidRPr="00F557D0">
          <w:rPr>
            <w:rFonts w:ascii="Verdana" w:eastAsia="Times New Roman" w:hAnsi="Verdana" w:cs="Times New Roman"/>
            <w:color w:val="000000"/>
            <w:kern w:val="0"/>
            <w:u w:val="single"/>
            <w:lang w:val="es-CO" w:eastAsia="es-MX"/>
            <w14:ligatures w14:val="none"/>
          </w:rPr>
          <w:t>radicacionhaciendabogota@shd.gov.co</w:t>
        </w:r>
      </w:hyperlink>
    </w:p>
    <w:p w14:paraId="77C80F2F" w14:textId="77777777" w:rsidR="00F557D0" w:rsidRPr="00F557D0" w:rsidRDefault="00F557D0" w:rsidP="00F557D0">
      <w:pPr>
        <w:rPr>
          <w:rFonts w:ascii="Times New Roman" w:eastAsia="Times New Roman" w:hAnsi="Times New Roman" w:cs="Times New Roman"/>
          <w:kern w:val="0"/>
          <w:lang w:val="es-CO" w:eastAsia="es-MX"/>
          <w14:ligatures w14:val="none"/>
        </w:rPr>
      </w:pPr>
    </w:p>
    <w:p w14:paraId="519D1EB7"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57D0"/>
    <w:rsid w:val="000B2285"/>
    <w:rsid w:val="00537D8F"/>
    <w:rsid w:val="00956539"/>
    <w:rsid w:val="00B83A7B"/>
    <w:rsid w:val="00F557D0"/>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5DDB2B9D"/>
  <w14:defaultImageDpi w14:val="32767"/>
  <w15:chartTrackingRefBased/>
  <w15:docId w15:val="{5A580EAC-9D5B-F442-B238-BEA838D2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F557D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unhideWhenUsed/>
    <w:qFormat/>
    <w:rsid w:val="00F557D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F557D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F557D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F557D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F557D0"/>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F557D0"/>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F557D0"/>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F557D0"/>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F557D0"/>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rsid w:val="00F557D0"/>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F557D0"/>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F557D0"/>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F557D0"/>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F557D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F557D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F557D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F557D0"/>
    <w:rPr>
      <w:rFonts w:eastAsiaTheme="majorEastAsia" w:cstheme="majorBidi"/>
      <w:color w:val="272727" w:themeColor="text1" w:themeTint="D8"/>
    </w:rPr>
  </w:style>
  <w:style w:type="paragraph" w:styleId="Ttulo">
    <w:name w:val="Title"/>
    <w:basedOn w:val="Normal"/>
    <w:next w:val="Normal"/>
    <w:link w:val="TtuloCar"/>
    <w:uiPriority w:val="10"/>
    <w:qFormat/>
    <w:rsid w:val="00F557D0"/>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F557D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F557D0"/>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F557D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F557D0"/>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F557D0"/>
    <w:rPr>
      <w:i/>
      <w:iCs/>
      <w:color w:val="404040" w:themeColor="text1" w:themeTint="BF"/>
    </w:rPr>
  </w:style>
  <w:style w:type="paragraph" w:styleId="Prrafodelista">
    <w:name w:val="List Paragraph"/>
    <w:basedOn w:val="Normal"/>
    <w:uiPriority w:val="34"/>
    <w:qFormat/>
    <w:rsid w:val="00F557D0"/>
    <w:pPr>
      <w:ind w:left="720"/>
      <w:contextualSpacing/>
    </w:pPr>
  </w:style>
  <w:style w:type="character" w:styleId="nfasisintenso">
    <w:name w:val="Intense Emphasis"/>
    <w:basedOn w:val="Fuentedeprrafopredeter"/>
    <w:uiPriority w:val="21"/>
    <w:qFormat/>
    <w:rsid w:val="00F557D0"/>
    <w:rPr>
      <w:i/>
      <w:iCs/>
      <w:color w:val="2F5496" w:themeColor="accent1" w:themeShade="BF"/>
    </w:rPr>
  </w:style>
  <w:style w:type="paragraph" w:styleId="Citadestacada">
    <w:name w:val="Intense Quote"/>
    <w:basedOn w:val="Normal"/>
    <w:next w:val="Normal"/>
    <w:link w:val="CitadestacadaCar"/>
    <w:uiPriority w:val="30"/>
    <w:qFormat/>
    <w:rsid w:val="00F557D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F557D0"/>
    <w:rPr>
      <w:i/>
      <w:iCs/>
      <w:color w:val="2F5496" w:themeColor="accent1" w:themeShade="BF"/>
    </w:rPr>
  </w:style>
  <w:style w:type="character" w:styleId="Referenciaintensa">
    <w:name w:val="Intense Reference"/>
    <w:basedOn w:val="Fuentedeprrafopredeter"/>
    <w:uiPriority w:val="32"/>
    <w:qFormat/>
    <w:rsid w:val="00F557D0"/>
    <w:rPr>
      <w:b/>
      <w:bCs/>
      <w:smallCaps/>
      <w:color w:val="2F5496" w:themeColor="accent1" w:themeShade="BF"/>
      <w:spacing w:val="5"/>
    </w:rPr>
  </w:style>
  <w:style w:type="paragraph" w:styleId="NormalWeb">
    <w:name w:val="Normal (Web)"/>
    <w:basedOn w:val="Normal"/>
    <w:uiPriority w:val="99"/>
    <w:semiHidden/>
    <w:unhideWhenUsed/>
    <w:rsid w:val="00F557D0"/>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styleId="Hipervnculo">
    <w:name w:val="Hyperlink"/>
    <w:basedOn w:val="Fuentedeprrafopredeter"/>
    <w:uiPriority w:val="99"/>
    <w:semiHidden/>
    <w:unhideWhenUsed/>
    <w:rsid w:val="00F557D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radicacionhaciendabogota@shd.gov.co" TargetMode="External"/><Relationship Id="rId5" Type="http://schemas.openxmlformats.org/officeDocument/2006/relationships/hyperlink" Target="https://docs.google.com/document/d/12C1EbOPZ73E7SOAckY3Bpf0BHv0b7W8b/edit" TargetMode="External"/><Relationship Id="rId4" Type="http://schemas.openxmlformats.org/officeDocument/2006/relationships/hyperlink" Target="mailto:lgranados@shd.gov.co"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5365</Words>
  <Characters>29511</Characters>
  <Application>Microsoft Office Word</Application>
  <DocSecurity>0</DocSecurity>
  <Lines>245</Lines>
  <Paragraphs>69</Paragraphs>
  <ScaleCrop>false</ScaleCrop>
  <Company/>
  <LinksUpToDate>false</LinksUpToDate>
  <CharactersWithSpaces>34807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2025-10-28T17:07:00Z</dcterms:created>
  <dcterms:modified xsi:type="dcterms:W3CDTF">2025-10-28T17:08:00Z</dcterms:modified>
</cp:coreProperties>
</file>