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435DFB"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b/>
          <w:bCs/>
          <w:color w:val="000000"/>
          <w:kern w:val="0"/>
          <w:lang w:val="es-CO" w:eastAsia="es-MX"/>
          <w14:ligatures w14:val="none"/>
        </w:rPr>
        <w:t>CONCEPTO 297 DEL 14 DE OCTUBRE DE 2025</w:t>
      </w:r>
    </w:p>
    <w:p w14:paraId="12795156"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b/>
          <w:bCs/>
          <w:color w:val="000000"/>
          <w:kern w:val="0"/>
          <w:lang w:val="es-CO" w:eastAsia="es-MX"/>
          <w14:ligatures w14:val="none"/>
        </w:rPr>
        <w:t>CONSEJO TÉCNICO DE LA CONTADURÍA PÚBLICA</w:t>
      </w:r>
    </w:p>
    <w:p w14:paraId="5331F9FA"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3F4FCC54"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color w:val="000000"/>
          <w:kern w:val="0"/>
          <w:lang w:val="es-CO" w:eastAsia="es-MX"/>
          <w14:ligatures w14:val="none"/>
        </w:rPr>
        <w:t>Bogotá, D.C.,</w:t>
      </w:r>
    </w:p>
    <w:p w14:paraId="735E8A8E"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0CF653D6"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color w:val="000000"/>
          <w:kern w:val="0"/>
          <w:lang w:val="es-CO" w:eastAsia="es-MX"/>
          <w14:ligatures w14:val="none"/>
        </w:rPr>
        <w:t>Señor (a)</w:t>
      </w:r>
    </w:p>
    <w:p w14:paraId="60FB01F2"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18868C84"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b/>
          <w:bCs/>
          <w:color w:val="000000"/>
          <w:kern w:val="0"/>
          <w:lang w:val="es-CO" w:eastAsia="es-MX"/>
          <w14:ligatures w14:val="none"/>
        </w:rPr>
        <w:t>REFERENCIA</w:t>
      </w:r>
    </w:p>
    <w:p w14:paraId="7CC95122"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b/>
          <w:bCs/>
          <w:color w:val="000000"/>
          <w:kern w:val="0"/>
          <w:lang w:val="es-CO" w:eastAsia="es-MX"/>
          <w14:ligatures w14:val="none"/>
        </w:rPr>
        <w:t>No. del Radicado</w:t>
      </w:r>
      <w:r w:rsidRPr="00CB7DFB">
        <w:rPr>
          <w:rFonts w:ascii="Verdana" w:eastAsia="Times New Roman" w:hAnsi="Verdana" w:cs="Times New Roman"/>
          <w:b/>
          <w:bCs/>
          <w:color w:val="000000"/>
          <w:kern w:val="0"/>
          <w:lang w:val="es-CO" w:eastAsia="es-MX"/>
          <w14:ligatures w14:val="none"/>
        </w:rPr>
        <w:tab/>
      </w:r>
      <w:r w:rsidRPr="00CB7DFB">
        <w:rPr>
          <w:rFonts w:ascii="Verdana" w:eastAsia="Times New Roman" w:hAnsi="Verdana" w:cs="Times New Roman"/>
          <w:b/>
          <w:bCs/>
          <w:color w:val="000000"/>
          <w:kern w:val="0"/>
          <w:lang w:val="es-CO" w:eastAsia="es-MX"/>
          <w14:ligatures w14:val="none"/>
        </w:rPr>
        <w:tab/>
      </w:r>
      <w:r w:rsidRPr="00CB7DFB">
        <w:rPr>
          <w:rFonts w:ascii="Verdana" w:eastAsia="Times New Roman" w:hAnsi="Verdana" w:cs="Times New Roman"/>
          <w:color w:val="000000"/>
          <w:kern w:val="0"/>
          <w:lang w:val="es-CO" w:eastAsia="es-MX"/>
          <w14:ligatures w14:val="none"/>
        </w:rPr>
        <w:t>1-2025-035193</w:t>
      </w:r>
    </w:p>
    <w:p w14:paraId="523A737F"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b/>
          <w:bCs/>
          <w:color w:val="000000"/>
          <w:kern w:val="0"/>
          <w:lang w:val="es-CO" w:eastAsia="es-MX"/>
          <w14:ligatures w14:val="none"/>
        </w:rPr>
        <w:t>Fecha de Radicado</w:t>
      </w:r>
      <w:r w:rsidRPr="00CB7DFB">
        <w:rPr>
          <w:rFonts w:ascii="Verdana" w:eastAsia="Times New Roman" w:hAnsi="Verdana" w:cs="Times New Roman"/>
          <w:b/>
          <w:bCs/>
          <w:color w:val="000000"/>
          <w:kern w:val="0"/>
          <w:lang w:val="es-CO" w:eastAsia="es-MX"/>
          <w14:ligatures w14:val="none"/>
        </w:rPr>
        <w:tab/>
      </w:r>
      <w:r w:rsidRPr="00CB7DFB">
        <w:rPr>
          <w:rFonts w:ascii="Verdana" w:eastAsia="Times New Roman" w:hAnsi="Verdana" w:cs="Times New Roman"/>
          <w:b/>
          <w:bCs/>
          <w:color w:val="000000"/>
          <w:kern w:val="0"/>
          <w:lang w:val="es-CO" w:eastAsia="es-MX"/>
          <w14:ligatures w14:val="none"/>
        </w:rPr>
        <w:tab/>
      </w:r>
      <w:r w:rsidRPr="00CB7DFB">
        <w:rPr>
          <w:rFonts w:ascii="Verdana" w:eastAsia="Times New Roman" w:hAnsi="Verdana" w:cs="Times New Roman"/>
          <w:color w:val="000000"/>
          <w:kern w:val="0"/>
          <w:lang w:val="es-CO" w:eastAsia="es-MX"/>
          <w14:ligatures w14:val="none"/>
        </w:rPr>
        <w:t>14 de octubre de 2025</w:t>
      </w:r>
    </w:p>
    <w:p w14:paraId="276DA96D"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proofErr w:type="spellStart"/>
      <w:r w:rsidRPr="00CB7DFB">
        <w:rPr>
          <w:rFonts w:ascii="Verdana" w:eastAsia="Times New Roman" w:hAnsi="Verdana" w:cs="Times New Roman"/>
          <w:b/>
          <w:bCs/>
          <w:color w:val="000000"/>
          <w:kern w:val="0"/>
          <w:lang w:val="es-CO" w:eastAsia="es-MX"/>
          <w14:ligatures w14:val="none"/>
        </w:rPr>
        <w:t>Nº</w:t>
      </w:r>
      <w:proofErr w:type="spellEnd"/>
      <w:r w:rsidRPr="00CB7DFB">
        <w:rPr>
          <w:rFonts w:ascii="Verdana" w:eastAsia="Times New Roman" w:hAnsi="Verdana" w:cs="Times New Roman"/>
          <w:b/>
          <w:bCs/>
          <w:color w:val="000000"/>
          <w:kern w:val="0"/>
          <w:lang w:val="es-CO" w:eastAsia="es-MX"/>
          <w14:ligatures w14:val="none"/>
        </w:rPr>
        <w:t xml:space="preserve"> de Radicación CTCP</w:t>
      </w:r>
      <w:r w:rsidRPr="00CB7DFB">
        <w:rPr>
          <w:rFonts w:ascii="Verdana" w:eastAsia="Times New Roman" w:hAnsi="Verdana" w:cs="Times New Roman"/>
          <w:b/>
          <w:bCs/>
          <w:color w:val="000000"/>
          <w:kern w:val="0"/>
          <w:lang w:val="es-CO" w:eastAsia="es-MX"/>
          <w14:ligatures w14:val="none"/>
        </w:rPr>
        <w:tab/>
      </w:r>
      <w:r w:rsidRPr="00CB7DFB">
        <w:rPr>
          <w:rFonts w:ascii="Verdana" w:eastAsia="Times New Roman" w:hAnsi="Verdana" w:cs="Times New Roman"/>
          <w:color w:val="000000"/>
          <w:kern w:val="0"/>
          <w:lang w:val="es-CO" w:eastAsia="es-MX"/>
          <w14:ligatures w14:val="none"/>
        </w:rPr>
        <w:t>2025-0297</w:t>
      </w:r>
    </w:p>
    <w:p w14:paraId="35098FB8"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b/>
          <w:bCs/>
          <w:color w:val="000000"/>
          <w:kern w:val="0"/>
          <w:lang w:val="es-CO" w:eastAsia="es-MX"/>
          <w14:ligatures w14:val="none"/>
        </w:rPr>
        <w:t>Tema</w:t>
      </w:r>
      <w:r w:rsidRPr="00CB7DFB">
        <w:rPr>
          <w:rFonts w:ascii="Verdana" w:eastAsia="Times New Roman" w:hAnsi="Verdana" w:cs="Times New Roman"/>
          <w:b/>
          <w:bCs/>
          <w:color w:val="000000"/>
          <w:kern w:val="0"/>
          <w:lang w:val="es-CO" w:eastAsia="es-MX"/>
          <w14:ligatures w14:val="none"/>
        </w:rPr>
        <w:tab/>
      </w:r>
      <w:r w:rsidRPr="00CB7DFB">
        <w:rPr>
          <w:rFonts w:ascii="Verdana" w:eastAsia="Times New Roman" w:hAnsi="Verdana" w:cs="Times New Roman"/>
          <w:b/>
          <w:bCs/>
          <w:color w:val="000000"/>
          <w:kern w:val="0"/>
          <w:lang w:val="es-CO" w:eastAsia="es-MX"/>
          <w14:ligatures w14:val="none"/>
        </w:rPr>
        <w:tab/>
      </w:r>
      <w:r w:rsidRPr="00CB7DFB">
        <w:rPr>
          <w:rFonts w:ascii="Verdana" w:eastAsia="Times New Roman" w:hAnsi="Verdana" w:cs="Times New Roman"/>
          <w:b/>
          <w:bCs/>
          <w:color w:val="000000"/>
          <w:kern w:val="0"/>
          <w:lang w:val="es-CO" w:eastAsia="es-MX"/>
          <w14:ligatures w14:val="none"/>
        </w:rPr>
        <w:tab/>
      </w:r>
      <w:r w:rsidRPr="00CB7DFB">
        <w:rPr>
          <w:rFonts w:ascii="Verdana" w:eastAsia="Times New Roman" w:hAnsi="Verdana" w:cs="Times New Roman"/>
          <w:b/>
          <w:bCs/>
          <w:color w:val="000000"/>
          <w:kern w:val="0"/>
          <w:lang w:val="es-CO" w:eastAsia="es-MX"/>
          <w14:ligatures w14:val="none"/>
        </w:rPr>
        <w:tab/>
      </w:r>
      <w:r w:rsidRPr="00CB7DFB">
        <w:rPr>
          <w:rFonts w:ascii="Verdana" w:eastAsia="Times New Roman" w:hAnsi="Verdana" w:cs="Times New Roman"/>
          <w:color w:val="000000"/>
          <w:kern w:val="0"/>
          <w:lang w:val="es-CO" w:eastAsia="es-MX"/>
          <w14:ligatures w14:val="none"/>
        </w:rPr>
        <w:t>Firma de estados financieros</w:t>
      </w:r>
    </w:p>
    <w:p w14:paraId="4ADB4682"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592CB9B3"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b/>
          <w:bCs/>
          <w:color w:val="000000"/>
          <w:kern w:val="0"/>
          <w:lang w:val="es-CO" w:eastAsia="es-MX"/>
          <w14:ligatures w14:val="none"/>
        </w:rPr>
        <w:t>CONSULTA (TEXTUAL)</w:t>
      </w:r>
    </w:p>
    <w:p w14:paraId="23DCE504"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6C4A8DE3"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i/>
          <w:iCs/>
          <w:color w:val="000000"/>
          <w:kern w:val="0"/>
          <w:sz w:val="22"/>
          <w:szCs w:val="22"/>
          <w:lang w:val="es-CO" w:eastAsia="es-MX"/>
          <w14:ligatures w14:val="none"/>
        </w:rPr>
        <w:t>“(…) para solicitar de su parte una aclaración respecto del concepto 259, publicado el pasado 10 de octubre.</w:t>
      </w:r>
    </w:p>
    <w:p w14:paraId="03322997"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i/>
          <w:iCs/>
          <w:color w:val="000000"/>
          <w:kern w:val="0"/>
          <w:sz w:val="22"/>
          <w:szCs w:val="22"/>
          <w:lang w:val="es-CO" w:eastAsia="es-MX"/>
          <w14:ligatures w14:val="none"/>
        </w:rPr>
        <w:t>En ese concepto se indicó que no se podía extender la figura de estados financieros certificados a las personas naturales comerciantes y aunque ellas están obligadas a llevar contabilidad, esto no implica que deben certificar sus estados financieros en los términos de la Ley 222 de 1995, artículo 37.</w:t>
      </w:r>
    </w:p>
    <w:p w14:paraId="36723D87"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i/>
          <w:iCs/>
          <w:color w:val="000000"/>
          <w:kern w:val="0"/>
          <w:sz w:val="22"/>
          <w:szCs w:val="22"/>
          <w:lang w:val="es-CO" w:eastAsia="es-MX"/>
          <w14:ligatures w14:val="none"/>
        </w:rPr>
        <w:t>En este sentido, los estados financieros de una persona natural no comerciante, para que sean válidos, solo requieren la firma de la persona natural sobre la cual se prepara la información? No se requiere entonces firma del contador público? o sí es necesaria”.</w:t>
      </w:r>
    </w:p>
    <w:p w14:paraId="57AF3C4F"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78A9927D"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b/>
          <w:bCs/>
          <w:color w:val="000000"/>
          <w:kern w:val="0"/>
          <w:lang w:val="es-CO" w:eastAsia="es-MX"/>
          <w14:ligatures w14:val="none"/>
        </w:rPr>
        <w:t>RESUMEN:</w:t>
      </w:r>
    </w:p>
    <w:p w14:paraId="1C65C5EA"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07666945"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color w:val="000000"/>
          <w:kern w:val="0"/>
          <w:lang w:val="es-CO" w:eastAsia="es-MX"/>
          <w14:ligatures w14:val="none"/>
        </w:rPr>
        <w:t>Los estados financieros de una persona natural no comerciante no están sujetos a la certificación prevista en el artículo 37 de la Ley 222 de 1995. Para fines internos (uso personal o privado), la persona natural puede firmar su propia información contable; sin embargo, cuando dicha información se configure como información contable o como estados financieros susceptibles de producir efectos ante terceros, o cuando el destinatario exija la intervención profesional, deberá estar firmada por un Contador Público en virtud de lo previsto en la Ley 43 de 1990.</w:t>
      </w:r>
    </w:p>
    <w:p w14:paraId="7EE12593"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1E6B6A5F"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b/>
          <w:bCs/>
          <w:color w:val="000000"/>
          <w:kern w:val="0"/>
          <w:lang w:val="es-CO" w:eastAsia="es-MX"/>
          <w14:ligatures w14:val="none"/>
        </w:rPr>
        <w:t>CONSIDERACIONES Y CONCEPTO</w:t>
      </w:r>
    </w:p>
    <w:p w14:paraId="19DC7CA1"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3AA5F638"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color w:val="000000"/>
          <w:kern w:val="0"/>
          <w:lang w:val="es-CO" w:eastAsia="es-MX"/>
          <w14:ligatures w14:val="none"/>
        </w:rPr>
        <w:t xml:space="preserve">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w:t>
      </w:r>
      <w:r w:rsidRPr="00CB7DFB">
        <w:rPr>
          <w:rFonts w:ascii="Verdana" w:eastAsia="Times New Roman" w:hAnsi="Verdana" w:cs="Times New Roman"/>
          <w:color w:val="000000"/>
          <w:kern w:val="0"/>
          <w:lang w:val="es-CO" w:eastAsia="es-MX"/>
          <w14:ligatures w14:val="none"/>
        </w:rPr>
        <w:lastRenderedPageBreak/>
        <w:t>procede a dar respuesta a la consulta de manera general, sin pretender resolver casos particulares, en los siguientes términos:</w:t>
      </w:r>
    </w:p>
    <w:p w14:paraId="0BE391FF"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34649A56"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color w:val="000000"/>
          <w:kern w:val="0"/>
          <w:lang w:val="es-CO" w:eastAsia="es-MX"/>
          <w14:ligatures w14:val="none"/>
        </w:rPr>
        <w:t>En su comunicación solicita el peticionario aclaración respecto del Concepto 259 del 10 de octubre de 2025, específicamente en lo relacionado con la aplicación de la figura de estados financieros certificados en el caso de personas naturales no comerciantes.</w:t>
      </w:r>
    </w:p>
    <w:p w14:paraId="12819FA6"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11D664F2"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color w:val="000000"/>
          <w:kern w:val="0"/>
          <w:lang w:val="es-CO" w:eastAsia="es-MX"/>
          <w14:ligatures w14:val="none"/>
        </w:rPr>
        <w:t xml:space="preserve">El concepto mencionado precisó que la figura de “estados financieros certificados”, prevista en el </w:t>
      </w:r>
      <w:hyperlink r:id="rId5" w:history="1">
        <w:r w:rsidRPr="00CB7DFB">
          <w:rPr>
            <w:rFonts w:ascii="Verdana" w:eastAsia="Times New Roman" w:hAnsi="Verdana" w:cs="Times New Roman"/>
            <w:color w:val="000000"/>
            <w:kern w:val="0"/>
            <w:u w:val="single"/>
            <w:lang w:val="es-CO" w:eastAsia="es-MX"/>
            <w14:ligatures w14:val="none"/>
          </w:rPr>
          <w:t>artículo 37</w:t>
        </w:r>
      </w:hyperlink>
      <w:r w:rsidRPr="00CB7DFB">
        <w:rPr>
          <w:rFonts w:ascii="Verdana" w:eastAsia="Times New Roman" w:hAnsi="Verdana" w:cs="Times New Roman"/>
          <w:color w:val="000000"/>
          <w:kern w:val="0"/>
          <w:lang w:val="es-CO" w:eastAsia="es-MX"/>
          <w14:ligatures w14:val="none"/>
        </w:rPr>
        <w:t xml:space="preserve"> de la Ley 222 de 1995, es una obligación prevista para las sociedades y sus administradores, y no es extensible a las personas naturales comerciantes, aun cuando estas se encuentren obligadas a llevar contabilidad conforme a lo establecido en el Código de Comercio.</w:t>
      </w:r>
    </w:p>
    <w:p w14:paraId="68EB4FE2"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2664853E"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color w:val="000000"/>
          <w:kern w:val="0"/>
          <w:lang w:val="es-CO" w:eastAsia="es-MX"/>
          <w14:ligatures w14:val="none"/>
        </w:rPr>
        <w:t>En consecuencia, cuando se trate de una persona natural no comerciante que voluntariamente lleva contabilidad o prepara información financiera para fines internos o de terceros, no se encuentra sujeta al régimen de certificación de estados financieros en los términos de la Ley 222 de 1995.</w:t>
      </w:r>
    </w:p>
    <w:p w14:paraId="795863D3"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4EFAA0B8"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color w:val="000000"/>
          <w:kern w:val="0"/>
          <w:lang w:val="es-CO" w:eastAsia="es-MX"/>
          <w14:ligatures w14:val="none"/>
        </w:rPr>
        <w:t>Sin embargo, para que los estados financieros o la información contable de una persona natural tengan efectos ante terceros, sí deberán estar firmados por el Contador Público que los haya preparado o examinado, siempre que la información se exprese en términos técnicos contables y se pretenda utilizar para fines externos.</w:t>
      </w:r>
    </w:p>
    <w:p w14:paraId="7FF49179"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647DDEF8"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color w:val="000000"/>
          <w:kern w:val="0"/>
          <w:lang w:val="es-CO" w:eastAsia="es-MX"/>
          <w14:ligatures w14:val="none"/>
        </w:rPr>
        <w:t>En este evento, la firma del Contador Público no convierte la información en certificada bajo la Ley 222 de 1995, sino que garantiza su autenticidad, razonabilidad y validez técnica cuando los terceros la utilizan para tomar decisiones económicas.</w:t>
      </w:r>
    </w:p>
    <w:p w14:paraId="4BDFAE47"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5F2DBFFE"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color w:val="000000"/>
          <w:kern w:val="0"/>
          <w:lang w:val="es-CO" w:eastAsia="es-MX"/>
          <w14:ligatures w14:val="none"/>
        </w:rPr>
        <w:t>En conclusión:</w:t>
      </w:r>
    </w:p>
    <w:p w14:paraId="792B6A2E" w14:textId="77777777" w:rsidR="00CB7DFB" w:rsidRPr="00CB7DFB" w:rsidRDefault="00CB7DFB" w:rsidP="00CB7DFB">
      <w:pPr>
        <w:rPr>
          <w:rFonts w:ascii="Times New Roman" w:eastAsia="Times New Roman" w:hAnsi="Times New Roman" w:cs="Times New Roman"/>
          <w:kern w:val="0"/>
          <w:lang w:val="es-CO" w:eastAsia="es-MX"/>
          <w14:ligatures w14:val="none"/>
        </w:rPr>
      </w:pPr>
      <w:r w:rsidRPr="00CB7DFB">
        <w:rPr>
          <w:rFonts w:ascii="Times New Roman" w:eastAsia="Times New Roman" w:hAnsi="Times New Roman" w:cs="Times New Roman"/>
          <w:kern w:val="0"/>
          <w:lang w:val="es-CO" w:eastAsia="es-MX"/>
          <w14:ligatures w14:val="none"/>
        </w:rPr>
        <w:br/>
      </w:r>
    </w:p>
    <w:p w14:paraId="11957108" w14:textId="77777777" w:rsidR="00CB7DFB" w:rsidRPr="00CB7DFB" w:rsidRDefault="00CB7DFB" w:rsidP="00CB7DFB">
      <w:pPr>
        <w:numPr>
          <w:ilvl w:val="0"/>
          <w:numId w:val="1"/>
        </w:numPr>
        <w:jc w:val="both"/>
        <w:textAlignment w:val="baseline"/>
        <w:rPr>
          <w:rFonts w:ascii="Verdana" w:eastAsia="Times New Roman" w:hAnsi="Verdana" w:cs="Times New Roman"/>
          <w:color w:val="000000"/>
          <w:kern w:val="0"/>
          <w:lang w:val="es-CO" w:eastAsia="es-MX"/>
          <w14:ligatures w14:val="none"/>
        </w:rPr>
      </w:pPr>
      <w:r w:rsidRPr="00CB7DFB">
        <w:rPr>
          <w:rFonts w:ascii="Verdana" w:eastAsia="Times New Roman" w:hAnsi="Verdana" w:cs="Times New Roman"/>
          <w:color w:val="000000"/>
          <w:kern w:val="0"/>
          <w:lang w:val="es-CO" w:eastAsia="es-MX"/>
          <w14:ligatures w14:val="none"/>
        </w:rPr>
        <w:t>Las personas naturales no comerciantes no están obligadas a certificar sus estados financieros en los términos del artículo 37 de la Ley 222 de 1995.</w:t>
      </w:r>
    </w:p>
    <w:p w14:paraId="2D1DFF39" w14:textId="77777777" w:rsidR="00CB7DFB" w:rsidRPr="00CB7DFB" w:rsidRDefault="00CB7DFB" w:rsidP="00CB7DFB">
      <w:pPr>
        <w:numPr>
          <w:ilvl w:val="0"/>
          <w:numId w:val="1"/>
        </w:numPr>
        <w:jc w:val="both"/>
        <w:textAlignment w:val="baseline"/>
        <w:rPr>
          <w:rFonts w:ascii="Verdana" w:eastAsia="Times New Roman" w:hAnsi="Verdana" w:cs="Times New Roman"/>
          <w:color w:val="000000"/>
          <w:kern w:val="0"/>
          <w:lang w:val="es-CO" w:eastAsia="es-MX"/>
          <w14:ligatures w14:val="none"/>
        </w:rPr>
      </w:pPr>
      <w:r w:rsidRPr="00CB7DFB">
        <w:rPr>
          <w:rFonts w:ascii="Verdana" w:eastAsia="Times New Roman" w:hAnsi="Verdana" w:cs="Times New Roman"/>
          <w:color w:val="000000"/>
          <w:kern w:val="0"/>
          <w:lang w:val="es-CO" w:eastAsia="es-MX"/>
          <w14:ligatures w14:val="none"/>
        </w:rPr>
        <w:t>Para fines internos (personal o privado), la persona natural puede elaborar y firmar su propia información sin intervención del Contador Público.</w:t>
      </w:r>
    </w:p>
    <w:p w14:paraId="72D4F3D6" w14:textId="77777777" w:rsidR="00CB7DFB" w:rsidRPr="00CB7DFB" w:rsidRDefault="00CB7DFB" w:rsidP="00CB7DFB">
      <w:pPr>
        <w:numPr>
          <w:ilvl w:val="0"/>
          <w:numId w:val="1"/>
        </w:numPr>
        <w:jc w:val="both"/>
        <w:textAlignment w:val="baseline"/>
        <w:rPr>
          <w:rFonts w:ascii="Verdana" w:eastAsia="Times New Roman" w:hAnsi="Verdana" w:cs="Times New Roman"/>
          <w:color w:val="000000"/>
          <w:kern w:val="0"/>
          <w:lang w:val="es-CO" w:eastAsia="es-MX"/>
          <w14:ligatures w14:val="none"/>
        </w:rPr>
      </w:pPr>
      <w:r w:rsidRPr="00CB7DFB">
        <w:rPr>
          <w:rFonts w:ascii="Verdana" w:eastAsia="Times New Roman" w:hAnsi="Verdana" w:cs="Times New Roman"/>
          <w:color w:val="000000"/>
          <w:kern w:val="0"/>
          <w:lang w:val="es-CO" w:eastAsia="es-MX"/>
          <w14:ligatures w14:val="none"/>
        </w:rPr>
        <w:t>Para presentación ante terceros, la intervención del Contador Público será necesaria cuando: (i) así lo exija el tercero receptor o, (</w:t>
      </w:r>
      <w:proofErr w:type="spellStart"/>
      <w:r w:rsidRPr="00CB7DFB">
        <w:rPr>
          <w:rFonts w:ascii="Verdana" w:eastAsia="Times New Roman" w:hAnsi="Verdana" w:cs="Times New Roman"/>
          <w:color w:val="000000"/>
          <w:kern w:val="0"/>
          <w:lang w:val="es-CO" w:eastAsia="es-MX"/>
          <w14:ligatures w14:val="none"/>
        </w:rPr>
        <w:t>ii</w:t>
      </w:r>
      <w:proofErr w:type="spellEnd"/>
      <w:r w:rsidRPr="00CB7DFB">
        <w:rPr>
          <w:rFonts w:ascii="Verdana" w:eastAsia="Times New Roman" w:hAnsi="Verdana" w:cs="Times New Roman"/>
          <w:color w:val="000000"/>
          <w:kern w:val="0"/>
          <w:lang w:val="es-CO" w:eastAsia="es-MX"/>
          <w14:ligatures w14:val="none"/>
        </w:rPr>
        <w:t xml:space="preserve">) la información se presente como estados financieros o como información contable que produzca efectos ante terceros, </w:t>
      </w:r>
      <w:r w:rsidRPr="00CB7DFB">
        <w:rPr>
          <w:rFonts w:ascii="Verdana" w:eastAsia="Times New Roman" w:hAnsi="Verdana" w:cs="Times New Roman"/>
          <w:color w:val="000000"/>
          <w:kern w:val="0"/>
          <w:lang w:val="es-CO" w:eastAsia="es-MX"/>
          <w14:ligatures w14:val="none"/>
        </w:rPr>
        <w:lastRenderedPageBreak/>
        <w:t>requiriéndose en tal caso la firma profesional conforme a la Ley 43 de 1990.</w:t>
      </w:r>
    </w:p>
    <w:p w14:paraId="6E9B598B"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58C70CA0"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673C3BF3" w14:textId="77777777" w:rsidR="00CB7DFB" w:rsidRPr="00CB7DFB" w:rsidRDefault="00CB7DFB" w:rsidP="00CB7DFB">
      <w:pPr>
        <w:spacing w:after="240"/>
        <w:rPr>
          <w:rFonts w:ascii="Times New Roman" w:eastAsia="Times New Roman" w:hAnsi="Times New Roman" w:cs="Times New Roman"/>
          <w:kern w:val="0"/>
          <w:lang w:val="es-CO" w:eastAsia="es-MX"/>
          <w14:ligatures w14:val="none"/>
        </w:rPr>
      </w:pPr>
    </w:p>
    <w:p w14:paraId="0CD4D3B7"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color w:val="000000"/>
          <w:kern w:val="0"/>
          <w:lang w:val="es-CO" w:eastAsia="es-MX"/>
          <w14:ligatures w14:val="none"/>
        </w:rPr>
        <w:t>Cordialmente,</w:t>
      </w:r>
    </w:p>
    <w:p w14:paraId="5BCABF50" w14:textId="77777777" w:rsidR="00CB7DFB" w:rsidRPr="00CB7DFB" w:rsidRDefault="00CB7DFB" w:rsidP="00CB7DFB">
      <w:pPr>
        <w:spacing w:after="240"/>
        <w:rPr>
          <w:rFonts w:ascii="Times New Roman" w:eastAsia="Times New Roman" w:hAnsi="Times New Roman" w:cs="Times New Roman"/>
          <w:kern w:val="0"/>
          <w:lang w:val="es-CO" w:eastAsia="es-MX"/>
          <w14:ligatures w14:val="none"/>
        </w:rPr>
      </w:pPr>
      <w:r w:rsidRPr="00CB7DFB">
        <w:rPr>
          <w:rFonts w:ascii="Times New Roman" w:eastAsia="Times New Roman" w:hAnsi="Times New Roman" w:cs="Times New Roman"/>
          <w:kern w:val="0"/>
          <w:lang w:val="es-CO" w:eastAsia="es-MX"/>
          <w14:ligatures w14:val="none"/>
        </w:rPr>
        <w:br/>
      </w:r>
    </w:p>
    <w:p w14:paraId="0C1A43DF"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b/>
          <w:bCs/>
          <w:color w:val="000000"/>
          <w:kern w:val="0"/>
          <w:lang w:val="es-CO" w:eastAsia="es-MX"/>
          <w14:ligatures w14:val="none"/>
        </w:rPr>
        <w:t>Sandra Consuelo Muñoz Moreno</w:t>
      </w:r>
    </w:p>
    <w:p w14:paraId="66AA7363" w14:textId="77777777" w:rsidR="00CB7DFB" w:rsidRPr="00CB7DFB" w:rsidRDefault="00CB7DFB" w:rsidP="00CB7DFB">
      <w:pPr>
        <w:jc w:val="both"/>
        <w:rPr>
          <w:rFonts w:ascii="Times New Roman" w:eastAsia="Times New Roman" w:hAnsi="Times New Roman" w:cs="Times New Roman"/>
          <w:kern w:val="0"/>
          <w:lang w:val="es-CO" w:eastAsia="es-MX"/>
          <w14:ligatures w14:val="none"/>
        </w:rPr>
      </w:pPr>
      <w:r w:rsidRPr="00CB7DFB">
        <w:rPr>
          <w:rFonts w:ascii="Verdana" w:eastAsia="Times New Roman" w:hAnsi="Verdana" w:cs="Times New Roman"/>
          <w:color w:val="000000"/>
          <w:kern w:val="0"/>
          <w:lang w:val="es-CO" w:eastAsia="es-MX"/>
          <w14:ligatures w14:val="none"/>
        </w:rPr>
        <w:t>Consejera – CTCP</w:t>
      </w:r>
    </w:p>
    <w:p w14:paraId="341991B4" w14:textId="77777777" w:rsidR="00CB7DFB" w:rsidRPr="00CB7DFB" w:rsidRDefault="00CB7DFB" w:rsidP="00CB7DFB">
      <w:pPr>
        <w:rPr>
          <w:rFonts w:ascii="Times New Roman" w:eastAsia="Times New Roman" w:hAnsi="Times New Roman" w:cs="Times New Roman"/>
          <w:kern w:val="0"/>
          <w:lang w:val="es-CO" w:eastAsia="es-MX"/>
          <w14:ligatures w14:val="none"/>
        </w:rPr>
      </w:pPr>
    </w:p>
    <w:p w14:paraId="48FB39C7"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B60C7A"/>
    <w:multiLevelType w:val="multilevel"/>
    <w:tmpl w:val="A012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1195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DFB"/>
    <w:rsid w:val="000B2285"/>
    <w:rsid w:val="0044004F"/>
    <w:rsid w:val="00537D8F"/>
    <w:rsid w:val="00B83A7B"/>
    <w:rsid w:val="00CB7DF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0E0C326"/>
  <w14:defaultImageDpi w14:val="32767"/>
  <w15:chartTrackingRefBased/>
  <w15:docId w15:val="{2D4B0678-92E5-9145-B45D-CFA14ACDD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B7DF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B7DF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B7DF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B7DF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B7DF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B7DF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B7DF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B7DF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B7DF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B7DF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B7DF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B7DF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B7DF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B7DF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B7DF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B7DF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B7DF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B7DFB"/>
    <w:rPr>
      <w:rFonts w:eastAsiaTheme="majorEastAsia" w:cstheme="majorBidi"/>
      <w:color w:val="272727" w:themeColor="text1" w:themeTint="D8"/>
    </w:rPr>
  </w:style>
  <w:style w:type="paragraph" w:styleId="Ttulo">
    <w:name w:val="Title"/>
    <w:basedOn w:val="Normal"/>
    <w:next w:val="Normal"/>
    <w:link w:val="TtuloCar"/>
    <w:uiPriority w:val="10"/>
    <w:qFormat/>
    <w:rsid w:val="00CB7DF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B7DF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B7DF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B7DF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B7DF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B7DFB"/>
    <w:rPr>
      <w:i/>
      <w:iCs/>
      <w:color w:val="404040" w:themeColor="text1" w:themeTint="BF"/>
    </w:rPr>
  </w:style>
  <w:style w:type="paragraph" w:styleId="Prrafodelista">
    <w:name w:val="List Paragraph"/>
    <w:basedOn w:val="Normal"/>
    <w:uiPriority w:val="34"/>
    <w:qFormat/>
    <w:rsid w:val="00CB7DFB"/>
    <w:pPr>
      <w:ind w:left="720"/>
      <w:contextualSpacing/>
    </w:pPr>
  </w:style>
  <w:style w:type="character" w:styleId="nfasisintenso">
    <w:name w:val="Intense Emphasis"/>
    <w:basedOn w:val="Fuentedeprrafopredeter"/>
    <w:uiPriority w:val="21"/>
    <w:qFormat/>
    <w:rsid w:val="00CB7DFB"/>
    <w:rPr>
      <w:i/>
      <w:iCs/>
      <w:color w:val="2F5496" w:themeColor="accent1" w:themeShade="BF"/>
    </w:rPr>
  </w:style>
  <w:style w:type="paragraph" w:styleId="Citadestacada">
    <w:name w:val="Intense Quote"/>
    <w:basedOn w:val="Normal"/>
    <w:next w:val="Normal"/>
    <w:link w:val="CitadestacadaCar"/>
    <w:uiPriority w:val="30"/>
    <w:qFormat/>
    <w:rsid w:val="00CB7DF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B7DFB"/>
    <w:rPr>
      <w:i/>
      <w:iCs/>
      <w:color w:val="2F5496" w:themeColor="accent1" w:themeShade="BF"/>
    </w:rPr>
  </w:style>
  <w:style w:type="character" w:styleId="Referenciaintensa">
    <w:name w:val="Intense Reference"/>
    <w:basedOn w:val="Fuentedeprrafopredeter"/>
    <w:uiPriority w:val="32"/>
    <w:qFormat/>
    <w:rsid w:val="00CB7DFB"/>
    <w:rPr>
      <w:b/>
      <w:bCs/>
      <w:smallCaps/>
      <w:color w:val="2F5496" w:themeColor="accent1" w:themeShade="BF"/>
      <w:spacing w:val="5"/>
    </w:rPr>
  </w:style>
  <w:style w:type="paragraph" w:styleId="NormalWeb">
    <w:name w:val="Normal (Web)"/>
    <w:basedOn w:val="Normal"/>
    <w:uiPriority w:val="99"/>
    <w:semiHidden/>
    <w:unhideWhenUsed/>
    <w:rsid w:val="00CB7DFB"/>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CB7DFB"/>
  </w:style>
  <w:style w:type="character" w:styleId="Hipervnculo">
    <w:name w:val="Hyperlink"/>
    <w:basedOn w:val="Fuentedeprrafopredeter"/>
    <w:uiPriority w:val="99"/>
    <w:semiHidden/>
    <w:unhideWhenUsed/>
    <w:rsid w:val="00CB7DF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funcionpublica.gov.co/eva/gestornormativo/norma.php?i=6739"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716</Words>
  <Characters>3943</Characters>
  <Application>Microsoft Office Word</Application>
  <DocSecurity>0</DocSecurity>
  <Lines>32</Lines>
  <Paragraphs>9</Paragraphs>
  <ScaleCrop>false</ScaleCrop>
  <Company/>
  <LinksUpToDate>false</LinksUpToDate>
  <CharactersWithSpaces>4650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2025-12-16T14:26:00Z</dcterms:created>
  <dcterms:modified xsi:type="dcterms:W3CDTF">2025-12-16T14:27:00Z</dcterms:modified>
</cp:coreProperties>
</file>