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8A74C8"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b/>
          <w:bCs/>
          <w:color w:val="000000"/>
          <w:kern w:val="0"/>
          <w:lang w:val="es-CO" w:eastAsia="es-MX"/>
          <w14:ligatures w14:val="none"/>
        </w:rPr>
        <w:t>CONCEPTO 308 DEL 12 DE NOVIEMBRE DE 2025</w:t>
      </w:r>
    </w:p>
    <w:p w14:paraId="56AEDE71"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b/>
          <w:bCs/>
          <w:color w:val="000000"/>
          <w:kern w:val="0"/>
          <w:lang w:val="es-CO" w:eastAsia="es-MX"/>
          <w14:ligatures w14:val="none"/>
        </w:rPr>
        <w:t>CONSEJO TÉCNICO DE LA CONTADURÍA PÚBLICA -CTCP-</w:t>
      </w:r>
    </w:p>
    <w:p w14:paraId="0D988153" w14:textId="77777777" w:rsidR="000A2F2F" w:rsidRPr="000A2F2F" w:rsidRDefault="000A2F2F" w:rsidP="000A2F2F">
      <w:pPr>
        <w:rPr>
          <w:rFonts w:ascii="Times New Roman" w:eastAsia="Times New Roman" w:hAnsi="Times New Roman" w:cs="Times New Roman"/>
          <w:kern w:val="0"/>
          <w:lang w:val="es-CO" w:eastAsia="es-MX"/>
          <w14:ligatures w14:val="none"/>
        </w:rPr>
      </w:pPr>
    </w:p>
    <w:p w14:paraId="2EA612B0"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color w:val="000000"/>
          <w:kern w:val="0"/>
          <w:lang w:val="es-CO" w:eastAsia="es-MX"/>
          <w14:ligatures w14:val="none"/>
        </w:rPr>
        <w:t>Bogotá, D.C.,</w:t>
      </w:r>
    </w:p>
    <w:p w14:paraId="3427B2FE" w14:textId="77777777" w:rsidR="000A2F2F" w:rsidRPr="000A2F2F" w:rsidRDefault="000A2F2F" w:rsidP="000A2F2F">
      <w:pPr>
        <w:rPr>
          <w:rFonts w:ascii="Times New Roman" w:eastAsia="Times New Roman" w:hAnsi="Times New Roman" w:cs="Times New Roman"/>
          <w:kern w:val="0"/>
          <w:lang w:val="es-CO" w:eastAsia="es-MX"/>
          <w14:ligatures w14:val="none"/>
        </w:rPr>
      </w:pPr>
    </w:p>
    <w:p w14:paraId="720A97EE"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color w:val="000000"/>
          <w:kern w:val="0"/>
          <w:lang w:val="es-CO" w:eastAsia="es-MX"/>
          <w14:ligatures w14:val="none"/>
        </w:rPr>
        <w:t>Señor (a)</w:t>
      </w:r>
    </w:p>
    <w:p w14:paraId="1B73879D" w14:textId="77777777" w:rsidR="000A2F2F" w:rsidRPr="000A2F2F" w:rsidRDefault="000A2F2F" w:rsidP="000A2F2F">
      <w:pPr>
        <w:rPr>
          <w:rFonts w:ascii="Times New Roman" w:eastAsia="Times New Roman" w:hAnsi="Times New Roman" w:cs="Times New Roman"/>
          <w:kern w:val="0"/>
          <w:lang w:val="es-CO" w:eastAsia="es-MX"/>
          <w14:ligatures w14:val="none"/>
        </w:rPr>
      </w:pPr>
    </w:p>
    <w:p w14:paraId="3A265925"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b/>
          <w:bCs/>
          <w:color w:val="000000"/>
          <w:kern w:val="0"/>
          <w:lang w:val="es-CO" w:eastAsia="es-MX"/>
          <w14:ligatures w14:val="none"/>
        </w:rPr>
        <w:t>Referencia</w:t>
      </w:r>
    </w:p>
    <w:p w14:paraId="6C36A260"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b/>
          <w:bCs/>
          <w:color w:val="000000"/>
          <w:kern w:val="0"/>
          <w:lang w:val="es-CO" w:eastAsia="es-MX"/>
          <w14:ligatures w14:val="none"/>
        </w:rPr>
        <w:t>No. del Radicado</w:t>
      </w:r>
      <w:r w:rsidRPr="000A2F2F">
        <w:rPr>
          <w:rFonts w:ascii="Verdana" w:eastAsia="Times New Roman" w:hAnsi="Verdana" w:cs="Times New Roman"/>
          <w:b/>
          <w:bCs/>
          <w:color w:val="000000"/>
          <w:kern w:val="0"/>
          <w:lang w:val="es-CO" w:eastAsia="es-MX"/>
          <w14:ligatures w14:val="none"/>
        </w:rPr>
        <w:tab/>
      </w:r>
      <w:r w:rsidRPr="000A2F2F">
        <w:rPr>
          <w:rFonts w:ascii="Verdana" w:eastAsia="Times New Roman" w:hAnsi="Verdana" w:cs="Times New Roman"/>
          <w:b/>
          <w:bCs/>
          <w:color w:val="000000"/>
          <w:kern w:val="0"/>
          <w:lang w:val="es-CO" w:eastAsia="es-MX"/>
          <w14:ligatures w14:val="none"/>
        </w:rPr>
        <w:tab/>
      </w:r>
      <w:r w:rsidRPr="000A2F2F">
        <w:rPr>
          <w:rFonts w:ascii="Verdana" w:eastAsia="Times New Roman" w:hAnsi="Verdana" w:cs="Times New Roman"/>
          <w:color w:val="000000"/>
          <w:kern w:val="0"/>
          <w:lang w:val="es-CO" w:eastAsia="es-MX"/>
          <w14:ligatures w14:val="none"/>
        </w:rPr>
        <w:t>1-2025-039098</w:t>
      </w:r>
    </w:p>
    <w:p w14:paraId="07003716"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b/>
          <w:bCs/>
          <w:color w:val="000000"/>
          <w:kern w:val="0"/>
          <w:lang w:val="es-CO" w:eastAsia="es-MX"/>
          <w14:ligatures w14:val="none"/>
        </w:rPr>
        <w:t>Fecha de Radicado</w:t>
      </w:r>
      <w:r w:rsidRPr="000A2F2F">
        <w:rPr>
          <w:rFonts w:ascii="Verdana" w:eastAsia="Times New Roman" w:hAnsi="Verdana" w:cs="Times New Roman"/>
          <w:b/>
          <w:bCs/>
          <w:color w:val="000000"/>
          <w:kern w:val="0"/>
          <w:lang w:val="es-CO" w:eastAsia="es-MX"/>
          <w14:ligatures w14:val="none"/>
        </w:rPr>
        <w:tab/>
      </w:r>
      <w:r w:rsidRPr="000A2F2F">
        <w:rPr>
          <w:rFonts w:ascii="Verdana" w:eastAsia="Times New Roman" w:hAnsi="Verdana" w:cs="Times New Roman"/>
          <w:b/>
          <w:bCs/>
          <w:color w:val="000000"/>
          <w:kern w:val="0"/>
          <w:lang w:val="es-CO" w:eastAsia="es-MX"/>
          <w14:ligatures w14:val="none"/>
        </w:rPr>
        <w:tab/>
      </w:r>
      <w:r w:rsidRPr="000A2F2F">
        <w:rPr>
          <w:rFonts w:ascii="Verdana" w:eastAsia="Times New Roman" w:hAnsi="Verdana" w:cs="Times New Roman"/>
          <w:color w:val="000000"/>
          <w:kern w:val="0"/>
          <w:lang w:val="es-CO" w:eastAsia="es-MX"/>
          <w14:ligatures w14:val="none"/>
        </w:rPr>
        <w:t>12 de noviembre de 2025</w:t>
      </w:r>
    </w:p>
    <w:p w14:paraId="2E4E045C"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b/>
          <w:bCs/>
          <w:color w:val="000000"/>
          <w:kern w:val="0"/>
          <w:lang w:val="es-CO" w:eastAsia="es-MX"/>
          <w14:ligatures w14:val="none"/>
        </w:rPr>
        <w:t>N.º de Radicación CTCP</w:t>
      </w:r>
      <w:r w:rsidRPr="000A2F2F">
        <w:rPr>
          <w:rFonts w:ascii="Verdana" w:eastAsia="Times New Roman" w:hAnsi="Verdana" w:cs="Times New Roman"/>
          <w:b/>
          <w:bCs/>
          <w:color w:val="000000"/>
          <w:kern w:val="0"/>
          <w:lang w:val="es-CO" w:eastAsia="es-MX"/>
          <w14:ligatures w14:val="none"/>
        </w:rPr>
        <w:tab/>
      </w:r>
      <w:r w:rsidRPr="000A2F2F">
        <w:rPr>
          <w:rFonts w:ascii="Verdana" w:eastAsia="Times New Roman" w:hAnsi="Verdana" w:cs="Times New Roman"/>
          <w:color w:val="000000"/>
          <w:kern w:val="0"/>
          <w:lang w:val="es-CO" w:eastAsia="es-MX"/>
          <w14:ligatures w14:val="none"/>
        </w:rPr>
        <w:t>2025-0308</w:t>
      </w:r>
    </w:p>
    <w:p w14:paraId="020A0E33" w14:textId="77777777" w:rsidR="000A2F2F" w:rsidRPr="000A2F2F" w:rsidRDefault="000A2F2F" w:rsidP="000A2F2F">
      <w:pPr>
        <w:rPr>
          <w:rFonts w:ascii="Times New Roman" w:eastAsia="Times New Roman" w:hAnsi="Times New Roman" w:cs="Times New Roman"/>
          <w:kern w:val="0"/>
          <w:lang w:val="es-CO" w:eastAsia="es-MX"/>
          <w14:ligatures w14:val="none"/>
        </w:rPr>
      </w:pPr>
    </w:p>
    <w:p w14:paraId="56CF66A9" w14:textId="77777777" w:rsidR="000A2F2F" w:rsidRPr="000A2F2F" w:rsidRDefault="000A2F2F" w:rsidP="000A2F2F">
      <w:pPr>
        <w:ind w:hanging="3600"/>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b/>
          <w:bCs/>
          <w:color w:val="000000"/>
          <w:kern w:val="0"/>
          <w:lang w:val="es-CO" w:eastAsia="es-MX"/>
          <w14:ligatures w14:val="none"/>
        </w:rPr>
        <w:t>Tema</w:t>
      </w:r>
      <w:r w:rsidRPr="000A2F2F">
        <w:rPr>
          <w:rFonts w:ascii="Verdana" w:eastAsia="Times New Roman" w:hAnsi="Verdana" w:cs="Times New Roman"/>
          <w:b/>
          <w:bCs/>
          <w:color w:val="000000"/>
          <w:kern w:val="0"/>
          <w:lang w:val="es-CO" w:eastAsia="es-MX"/>
          <w14:ligatures w14:val="none"/>
        </w:rPr>
        <w:tab/>
      </w:r>
      <w:r w:rsidRPr="000A2F2F">
        <w:rPr>
          <w:rFonts w:ascii="Verdana" w:eastAsia="Times New Roman" w:hAnsi="Verdana" w:cs="Times New Roman"/>
          <w:color w:val="000000"/>
          <w:kern w:val="0"/>
          <w:lang w:val="es-CO" w:eastAsia="es-MX"/>
          <w14:ligatures w14:val="none"/>
        </w:rPr>
        <w:t>Devolución y/o trasferencia de maquinaria (ISCA) a casa matriz</w:t>
      </w:r>
    </w:p>
    <w:p w14:paraId="6DA23AB5" w14:textId="77777777" w:rsidR="000A2F2F" w:rsidRPr="000A2F2F" w:rsidRDefault="000A2F2F" w:rsidP="000A2F2F">
      <w:pPr>
        <w:rPr>
          <w:rFonts w:ascii="Times New Roman" w:eastAsia="Times New Roman" w:hAnsi="Times New Roman" w:cs="Times New Roman"/>
          <w:kern w:val="0"/>
          <w:lang w:val="es-CO" w:eastAsia="es-MX"/>
          <w14:ligatures w14:val="none"/>
        </w:rPr>
      </w:pPr>
    </w:p>
    <w:p w14:paraId="03B33662"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b/>
          <w:bCs/>
          <w:color w:val="000000"/>
          <w:kern w:val="0"/>
          <w:lang w:val="es-CO" w:eastAsia="es-MX"/>
          <w14:ligatures w14:val="none"/>
        </w:rPr>
        <w:t>CONSULTA (TEXTUAL)</w:t>
      </w:r>
    </w:p>
    <w:p w14:paraId="0D39EE0D" w14:textId="77777777" w:rsidR="000A2F2F" w:rsidRPr="000A2F2F" w:rsidRDefault="000A2F2F" w:rsidP="000A2F2F">
      <w:pPr>
        <w:rPr>
          <w:rFonts w:ascii="Times New Roman" w:eastAsia="Times New Roman" w:hAnsi="Times New Roman" w:cs="Times New Roman"/>
          <w:kern w:val="0"/>
          <w:lang w:val="es-CO" w:eastAsia="es-MX"/>
          <w14:ligatures w14:val="none"/>
        </w:rPr>
      </w:pPr>
    </w:p>
    <w:p w14:paraId="026E0ECA"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i/>
          <w:iCs/>
          <w:color w:val="000000"/>
          <w:kern w:val="0"/>
          <w:sz w:val="22"/>
          <w:szCs w:val="22"/>
          <w:lang w:val="es-CO" w:eastAsia="es-MX"/>
          <w14:ligatures w14:val="none"/>
        </w:rPr>
        <w:t>“(…)</w:t>
      </w:r>
    </w:p>
    <w:p w14:paraId="533A1959" w14:textId="77777777" w:rsidR="000A2F2F" w:rsidRPr="000A2F2F" w:rsidRDefault="000A2F2F" w:rsidP="000A2F2F">
      <w:pPr>
        <w:rPr>
          <w:rFonts w:ascii="Times New Roman" w:eastAsia="Times New Roman" w:hAnsi="Times New Roman" w:cs="Times New Roman"/>
          <w:kern w:val="0"/>
          <w:lang w:val="es-CO" w:eastAsia="es-MX"/>
          <w14:ligatures w14:val="none"/>
        </w:rPr>
      </w:pPr>
    </w:p>
    <w:p w14:paraId="76EB4D7D"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i/>
          <w:iCs/>
          <w:color w:val="000000"/>
          <w:kern w:val="0"/>
          <w:sz w:val="22"/>
          <w:szCs w:val="22"/>
          <w:lang w:val="es-CO" w:eastAsia="es-MX"/>
          <w14:ligatures w14:val="none"/>
        </w:rPr>
        <w:t>Con el presente solicito su colaboración para dar respuesta a las siguientes preguntas:</w:t>
      </w:r>
    </w:p>
    <w:p w14:paraId="3C08A34E" w14:textId="77777777" w:rsidR="000A2F2F" w:rsidRPr="000A2F2F" w:rsidRDefault="000A2F2F" w:rsidP="000A2F2F">
      <w:pPr>
        <w:rPr>
          <w:rFonts w:ascii="Times New Roman" w:eastAsia="Times New Roman" w:hAnsi="Times New Roman" w:cs="Times New Roman"/>
          <w:kern w:val="0"/>
          <w:lang w:val="es-CO" w:eastAsia="es-MX"/>
          <w14:ligatures w14:val="none"/>
        </w:rPr>
      </w:pPr>
      <w:r w:rsidRPr="000A2F2F">
        <w:rPr>
          <w:rFonts w:ascii="Times New Roman" w:eastAsia="Times New Roman" w:hAnsi="Times New Roman" w:cs="Times New Roman"/>
          <w:kern w:val="0"/>
          <w:lang w:val="es-CO" w:eastAsia="es-MX"/>
          <w14:ligatures w14:val="none"/>
        </w:rPr>
        <w:br/>
      </w:r>
    </w:p>
    <w:p w14:paraId="326DBA95" w14:textId="77777777" w:rsidR="000A2F2F" w:rsidRPr="000A2F2F" w:rsidRDefault="000A2F2F" w:rsidP="000A2F2F">
      <w:pPr>
        <w:numPr>
          <w:ilvl w:val="0"/>
          <w:numId w:val="1"/>
        </w:numPr>
        <w:jc w:val="both"/>
        <w:textAlignment w:val="baseline"/>
        <w:rPr>
          <w:rFonts w:ascii="Verdana" w:eastAsia="Times New Roman" w:hAnsi="Verdana" w:cs="Times New Roman"/>
          <w:i/>
          <w:iCs/>
          <w:color w:val="000000"/>
          <w:kern w:val="0"/>
          <w:sz w:val="22"/>
          <w:szCs w:val="22"/>
          <w:lang w:val="es-CO" w:eastAsia="es-MX"/>
          <w14:ligatures w14:val="none"/>
        </w:rPr>
      </w:pPr>
      <w:r w:rsidRPr="000A2F2F">
        <w:rPr>
          <w:rFonts w:ascii="Verdana" w:eastAsia="Times New Roman" w:hAnsi="Verdana" w:cs="Times New Roman"/>
          <w:i/>
          <w:iCs/>
          <w:color w:val="000000"/>
          <w:kern w:val="0"/>
          <w:sz w:val="22"/>
          <w:szCs w:val="22"/>
          <w:lang w:val="es-CO" w:eastAsia="es-MX"/>
          <w14:ligatures w14:val="none"/>
        </w:rPr>
        <w:t>Una sucursal de sociedad extranjera del régimen cambiario especial recibió una maquinaria como inversión suplementaria al capital asignado (ISCA) por $100.000, ¿puede devolver a su casa matriz dicha maquinaria si la misma ha sido depreciada y su valor en libros es de $20.000? ¿Cómo sería el registro contable? ¿Por qué valor se devuelve?</w:t>
      </w:r>
    </w:p>
    <w:p w14:paraId="369BB867" w14:textId="77777777" w:rsidR="000A2F2F" w:rsidRPr="000A2F2F" w:rsidRDefault="000A2F2F" w:rsidP="000A2F2F">
      <w:pPr>
        <w:rPr>
          <w:rFonts w:ascii="Times New Roman" w:eastAsia="Times New Roman" w:hAnsi="Times New Roman" w:cs="Times New Roman"/>
          <w:kern w:val="0"/>
          <w:lang w:val="es-CO" w:eastAsia="es-MX"/>
          <w14:ligatures w14:val="none"/>
        </w:rPr>
      </w:pPr>
      <w:r w:rsidRPr="000A2F2F">
        <w:rPr>
          <w:rFonts w:ascii="Times New Roman" w:eastAsia="Times New Roman" w:hAnsi="Times New Roman" w:cs="Times New Roman"/>
          <w:kern w:val="0"/>
          <w:lang w:val="es-CO" w:eastAsia="es-MX"/>
          <w14:ligatures w14:val="none"/>
        </w:rPr>
        <w:br/>
      </w:r>
    </w:p>
    <w:p w14:paraId="0EFE0BD5" w14:textId="77777777" w:rsidR="000A2F2F" w:rsidRPr="000A2F2F" w:rsidRDefault="000A2F2F" w:rsidP="000A2F2F">
      <w:pPr>
        <w:numPr>
          <w:ilvl w:val="0"/>
          <w:numId w:val="2"/>
        </w:numPr>
        <w:jc w:val="both"/>
        <w:textAlignment w:val="baseline"/>
        <w:rPr>
          <w:rFonts w:ascii="Verdana" w:eastAsia="Times New Roman" w:hAnsi="Verdana" w:cs="Times New Roman"/>
          <w:i/>
          <w:iCs/>
          <w:color w:val="000000"/>
          <w:kern w:val="0"/>
          <w:sz w:val="22"/>
          <w:szCs w:val="22"/>
          <w:lang w:val="es-CO" w:eastAsia="es-MX"/>
          <w14:ligatures w14:val="none"/>
        </w:rPr>
      </w:pPr>
      <w:r w:rsidRPr="000A2F2F">
        <w:rPr>
          <w:rFonts w:ascii="Verdana" w:eastAsia="Times New Roman" w:hAnsi="Verdana" w:cs="Times New Roman"/>
          <w:i/>
          <w:iCs/>
          <w:color w:val="000000"/>
          <w:kern w:val="0"/>
          <w:sz w:val="22"/>
          <w:szCs w:val="22"/>
          <w:lang w:val="es-CO" w:eastAsia="es-MX"/>
          <w14:ligatures w14:val="none"/>
        </w:rPr>
        <w:t>Una sucursal de sociedad extranjera del régimen cambiario especial compra en Colombia una maquinaria ¿puede entregar a su casa matriz dicha maquinaria disminuyendo la inversión suplementaria al capital asignado (ISCA)? ¿Cómo sería el registro contable? ¿Por qué valor se entregaría?</w:t>
      </w:r>
    </w:p>
    <w:p w14:paraId="431897A3" w14:textId="77777777" w:rsidR="000A2F2F" w:rsidRPr="000A2F2F" w:rsidRDefault="000A2F2F" w:rsidP="000A2F2F">
      <w:pPr>
        <w:rPr>
          <w:rFonts w:ascii="Times New Roman" w:eastAsia="Times New Roman" w:hAnsi="Times New Roman" w:cs="Times New Roman"/>
          <w:kern w:val="0"/>
          <w:lang w:val="es-CO" w:eastAsia="es-MX"/>
          <w14:ligatures w14:val="none"/>
        </w:rPr>
      </w:pPr>
    </w:p>
    <w:p w14:paraId="217E16F7"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i/>
          <w:iCs/>
          <w:color w:val="000000"/>
          <w:kern w:val="0"/>
          <w:sz w:val="22"/>
          <w:szCs w:val="22"/>
          <w:lang w:val="es-CO" w:eastAsia="es-MX"/>
          <w14:ligatures w14:val="none"/>
        </w:rPr>
        <w:t>(…)”</w:t>
      </w:r>
    </w:p>
    <w:p w14:paraId="7D43D7E5" w14:textId="77777777" w:rsidR="000A2F2F" w:rsidRPr="000A2F2F" w:rsidRDefault="000A2F2F" w:rsidP="000A2F2F">
      <w:pPr>
        <w:rPr>
          <w:rFonts w:ascii="Times New Roman" w:eastAsia="Times New Roman" w:hAnsi="Times New Roman" w:cs="Times New Roman"/>
          <w:kern w:val="0"/>
          <w:lang w:val="es-CO" w:eastAsia="es-MX"/>
          <w14:ligatures w14:val="none"/>
        </w:rPr>
      </w:pPr>
    </w:p>
    <w:p w14:paraId="2EBE680D"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b/>
          <w:bCs/>
          <w:color w:val="000000"/>
          <w:kern w:val="0"/>
          <w:lang w:val="es-CO" w:eastAsia="es-MX"/>
          <w14:ligatures w14:val="none"/>
        </w:rPr>
        <w:t>RESUMEN:</w:t>
      </w:r>
    </w:p>
    <w:p w14:paraId="59AA77F0" w14:textId="77777777" w:rsidR="000A2F2F" w:rsidRPr="000A2F2F" w:rsidRDefault="000A2F2F" w:rsidP="000A2F2F">
      <w:pPr>
        <w:rPr>
          <w:rFonts w:ascii="Times New Roman" w:eastAsia="Times New Roman" w:hAnsi="Times New Roman" w:cs="Times New Roman"/>
          <w:kern w:val="0"/>
          <w:lang w:val="es-CO" w:eastAsia="es-MX"/>
          <w14:ligatures w14:val="none"/>
        </w:rPr>
      </w:pPr>
    </w:p>
    <w:p w14:paraId="7BC81B62"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color w:val="000000"/>
          <w:kern w:val="0"/>
          <w:lang w:val="es-CO" w:eastAsia="es-MX"/>
          <w14:ligatures w14:val="none"/>
        </w:rPr>
        <w:t xml:space="preserve">Para una sucursal de sociedad extranjera, la devolución o transferencia de un activo (maquinaria) a la casa matriz debe reconocerse contablemente por su valor en libros, de conformidad con lo dispuesto en los marcos técnicos normativos de información financiera, contenidos en los anexos aplicables al Grupo 1 o al Grupo 2 del Decreto Único Reglamentario DUR 2420 de 2015, según corresponda. La contrapartida de dicha operación corresponderá a una disminución del componente patrimonial en el que se haya reconocido la inversión suplementaria al </w:t>
      </w:r>
      <w:r w:rsidRPr="000A2F2F">
        <w:rPr>
          <w:rFonts w:ascii="Verdana" w:eastAsia="Times New Roman" w:hAnsi="Verdana" w:cs="Times New Roman"/>
          <w:color w:val="000000"/>
          <w:kern w:val="0"/>
          <w:lang w:val="es-CO" w:eastAsia="es-MX"/>
          <w14:ligatures w14:val="none"/>
        </w:rPr>
        <w:lastRenderedPageBreak/>
        <w:t>capital asignado (ISCA) o, según la naturaleza de la transacción, a las cuentas recíprocas con la casa matriz, sin que ello implique el reconocimiento de ingresos o gastos en resultados.</w:t>
      </w:r>
    </w:p>
    <w:p w14:paraId="46CF7FB4" w14:textId="77777777" w:rsidR="000A2F2F" w:rsidRPr="000A2F2F" w:rsidRDefault="000A2F2F" w:rsidP="000A2F2F">
      <w:pPr>
        <w:rPr>
          <w:rFonts w:ascii="Times New Roman" w:eastAsia="Times New Roman" w:hAnsi="Times New Roman" w:cs="Times New Roman"/>
          <w:kern w:val="0"/>
          <w:lang w:val="es-CO" w:eastAsia="es-MX"/>
          <w14:ligatures w14:val="none"/>
        </w:rPr>
      </w:pPr>
    </w:p>
    <w:p w14:paraId="2162F508"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b/>
          <w:bCs/>
          <w:color w:val="000000"/>
          <w:kern w:val="0"/>
          <w:lang w:val="es-CO" w:eastAsia="es-MX"/>
          <w14:ligatures w14:val="none"/>
        </w:rPr>
        <w:t>CONSIDERACIONES Y CONCEPTO</w:t>
      </w:r>
    </w:p>
    <w:p w14:paraId="6C5F092C" w14:textId="77777777" w:rsidR="000A2F2F" w:rsidRPr="000A2F2F" w:rsidRDefault="000A2F2F" w:rsidP="000A2F2F">
      <w:pPr>
        <w:rPr>
          <w:rFonts w:ascii="Times New Roman" w:eastAsia="Times New Roman" w:hAnsi="Times New Roman" w:cs="Times New Roman"/>
          <w:kern w:val="0"/>
          <w:lang w:val="es-CO" w:eastAsia="es-MX"/>
          <w14:ligatures w14:val="none"/>
        </w:rPr>
      </w:pPr>
    </w:p>
    <w:p w14:paraId="14EFD1F3"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color w:val="000000"/>
          <w:kern w:val="0"/>
          <w:lang w:val="es-CO" w:eastAsia="es-MX"/>
          <w14:ligatures w14:val="none"/>
        </w:rPr>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4F561F95" w14:textId="77777777" w:rsidR="000A2F2F" w:rsidRPr="000A2F2F" w:rsidRDefault="000A2F2F" w:rsidP="000A2F2F">
      <w:pPr>
        <w:rPr>
          <w:rFonts w:ascii="Times New Roman" w:eastAsia="Times New Roman" w:hAnsi="Times New Roman" w:cs="Times New Roman"/>
          <w:kern w:val="0"/>
          <w:lang w:val="es-CO" w:eastAsia="es-MX"/>
          <w14:ligatures w14:val="none"/>
        </w:rPr>
      </w:pPr>
    </w:p>
    <w:p w14:paraId="36067BD5"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color w:val="000000"/>
          <w:kern w:val="0"/>
          <w:lang w:val="es-CO" w:eastAsia="es-MX"/>
          <w14:ligatures w14:val="none"/>
        </w:rPr>
        <w:t>En este sentido, es preciso reiterar que no corresponde al CTCP pronunciarse sobre asuntos de naturaleza cambiaria, tales como inversión extranjera, repatriación de capitales, inversión extranjera directa, ni sobre autorizaciones, registros o procedimientos ante el Banco de la República, la DIAN u otras autoridades. Tales aspectos exceden el ámbito de la normalización contable y deben ser consultados ante las entidades competentes.</w:t>
      </w:r>
    </w:p>
    <w:p w14:paraId="31C97904" w14:textId="77777777" w:rsidR="000A2F2F" w:rsidRPr="000A2F2F" w:rsidRDefault="000A2F2F" w:rsidP="000A2F2F">
      <w:pPr>
        <w:rPr>
          <w:rFonts w:ascii="Times New Roman" w:eastAsia="Times New Roman" w:hAnsi="Times New Roman" w:cs="Times New Roman"/>
          <w:kern w:val="0"/>
          <w:lang w:val="es-CO" w:eastAsia="es-MX"/>
          <w14:ligatures w14:val="none"/>
        </w:rPr>
      </w:pPr>
    </w:p>
    <w:p w14:paraId="193451BE"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color w:val="000000"/>
          <w:kern w:val="0"/>
          <w:lang w:val="es-CO" w:eastAsia="es-MX"/>
          <w14:ligatures w14:val="none"/>
        </w:rPr>
        <w:t>Bajo este marco, el análisis se limita exclusivamente al tratamiento contable de las operaciones planteadas, conforme a los marcos técnicos normativos de información financiera vigentes en Colombia.</w:t>
      </w:r>
    </w:p>
    <w:p w14:paraId="07309DD9" w14:textId="77777777" w:rsidR="000A2F2F" w:rsidRPr="000A2F2F" w:rsidRDefault="000A2F2F" w:rsidP="000A2F2F">
      <w:pPr>
        <w:rPr>
          <w:rFonts w:ascii="Times New Roman" w:eastAsia="Times New Roman" w:hAnsi="Times New Roman" w:cs="Times New Roman"/>
          <w:kern w:val="0"/>
          <w:lang w:val="es-CO" w:eastAsia="es-MX"/>
          <w14:ligatures w14:val="none"/>
        </w:rPr>
      </w:pPr>
      <w:r w:rsidRPr="000A2F2F">
        <w:rPr>
          <w:rFonts w:ascii="Times New Roman" w:eastAsia="Times New Roman" w:hAnsi="Times New Roman" w:cs="Times New Roman"/>
          <w:kern w:val="0"/>
          <w:lang w:val="es-CO" w:eastAsia="es-MX"/>
          <w14:ligatures w14:val="none"/>
        </w:rPr>
        <w:br/>
      </w:r>
    </w:p>
    <w:p w14:paraId="6F244DAB" w14:textId="77777777" w:rsidR="000A2F2F" w:rsidRPr="000A2F2F" w:rsidRDefault="000A2F2F" w:rsidP="000A2F2F">
      <w:pPr>
        <w:numPr>
          <w:ilvl w:val="0"/>
          <w:numId w:val="3"/>
        </w:numPr>
        <w:jc w:val="both"/>
        <w:textAlignment w:val="baseline"/>
        <w:rPr>
          <w:rFonts w:ascii="Verdana" w:eastAsia="Times New Roman" w:hAnsi="Verdana" w:cs="Times New Roman"/>
          <w:b/>
          <w:bCs/>
          <w:i/>
          <w:iCs/>
          <w:color w:val="000000"/>
          <w:kern w:val="0"/>
          <w:lang w:val="es-CO" w:eastAsia="es-MX"/>
          <w14:ligatures w14:val="none"/>
        </w:rPr>
      </w:pPr>
      <w:r w:rsidRPr="000A2F2F">
        <w:rPr>
          <w:rFonts w:ascii="Verdana" w:eastAsia="Times New Roman" w:hAnsi="Verdana" w:cs="Times New Roman"/>
          <w:b/>
          <w:bCs/>
          <w:i/>
          <w:iCs/>
          <w:color w:val="000000"/>
          <w:kern w:val="0"/>
          <w:lang w:val="es-CO" w:eastAsia="es-MX"/>
          <w14:ligatures w14:val="none"/>
        </w:rPr>
        <w:t>Una sucursal de sociedad extranjera del régimen cambiario especial recibió una maquinaria como inversión suplementaria al capital asignado (ISCA) por $100.000, ¿puede devolver a su casa matriz dicha maquinaria si la misma ha sido depreciada y su valor en libros es de $20.000? ¿Cómo sería el registro contable? ¿Por qué valor se devuelve?</w:t>
      </w:r>
    </w:p>
    <w:p w14:paraId="5EC49008" w14:textId="77777777" w:rsidR="000A2F2F" w:rsidRPr="000A2F2F" w:rsidRDefault="000A2F2F" w:rsidP="000A2F2F">
      <w:pPr>
        <w:rPr>
          <w:rFonts w:ascii="Times New Roman" w:eastAsia="Times New Roman" w:hAnsi="Times New Roman" w:cs="Times New Roman"/>
          <w:kern w:val="0"/>
          <w:lang w:val="es-CO" w:eastAsia="es-MX"/>
          <w14:ligatures w14:val="none"/>
        </w:rPr>
      </w:pPr>
    </w:p>
    <w:p w14:paraId="35D666F0"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color w:val="000000"/>
          <w:kern w:val="0"/>
          <w:lang w:val="es-CO" w:eastAsia="es-MX"/>
          <w14:ligatures w14:val="none"/>
        </w:rPr>
        <w:t xml:space="preserve">Desde la perspectiva de los marcos técnicos normativos contenidos en los anexos para el Grupo 1 o para el Grupo 2 del </w:t>
      </w:r>
      <w:r w:rsidRPr="000A2F2F">
        <w:rPr>
          <w:rFonts w:ascii="Verdana" w:eastAsia="Times New Roman" w:hAnsi="Verdana" w:cs="Times New Roman"/>
          <w:color w:val="000000"/>
          <w:kern w:val="0"/>
          <w:u w:val="single"/>
          <w:lang w:val="es-CO" w:eastAsia="es-MX"/>
          <w14:ligatures w14:val="none"/>
        </w:rPr>
        <w:t>DUR 2420 de 2015</w:t>
      </w:r>
      <w:r w:rsidRPr="000A2F2F">
        <w:rPr>
          <w:rFonts w:ascii="Verdana" w:eastAsia="Times New Roman" w:hAnsi="Verdana" w:cs="Times New Roman"/>
          <w:color w:val="000000"/>
          <w:kern w:val="0"/>
          <w:lang w:val="es-CO" w:eastAsia="es-MX"/>
          <w14:ligatures w14:val="none"/>
        </w:rPr>
        <w:t>, según corresponda, la devolución a la casa matriz de un activo previamente recibido como Inversión Suplementaria al Capital Asignado constituye, contablemente, una baja del activo, acompañada de la disminución de la partida patrimonial en la cual se reconoció dicha inversión.</w:t>
      </w:r>
    </w:p>
    <w:p w14:paraId="7D37CB78" w14:textId="77777777" w:rsidR="000A2F2F" w:rsidRPr="000A2F2F" w:rsidRDefault="000A2F2F" w:rsidP="000A2F2F">
      <w:pPr>
        <w:rPr>
          <w:rFonts w:ascii="Times New Roman" w:eastAsia="Times New Roman" w:hAnsi="Times New Roman" w:cs="Times New Roman"/>
          <w:kern w:val="0"/>
          <w:lang w:val="es-CO" w:eastAsia="es-MX"/>
          <w14:ligatures w14:val="none"/>
        </w:rPr>
      </w:pPr>
    </w:p>
    <w:p w14:paraId="6085A2F8"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color w:val="000000"/>
          <w:kern w:val="0"/>
          <w:lang w:val="es-CO" w:eastAsia="es-MX"/>
          <w14:ligatures w14:val="none"/>
        </w:rPr>
        <w:t xml:space="preserve">En consecuencia, la maquinaria deberá darse de baja por su valor en libros a la fecha de la devolución, entendido su costo menos la </w:t>
      </w:r>
      <w:r w:rsidRPr="000A2F2F">
        <w:rPr>
          <w:rFonts w:ascii="Verdana" w:eastAsia="Times New Roman" w:hAnsi="Verdana" w:cs="Times New Roman"/>
          <w:color w:val="000000"/>
          <w:kern w:val="0"/>
          <w:lang w:val="es-CO" w:eastAsia="es-MX"/>
          <w14:ligatures w14:val="none"/>
        </w:rPr>
        <w:lastRenderedPageBreak/>
        <w:t>depreciación acumulada (en el caso planteado $20.000 como valor neto) y la contrapartida corresponderá a la disminución del rubro patrimonial en el que se haya reconocido la ISCA.</w:t>
      </w:r>
    </w:p>
    <w:p w14:paraId="01C9DEFC" w14:textId="77777777" w:rsidR="000A2F2F" w:rsidRPr="000A2F2F" w:rsidRDefault="000A2F2F" w:rsidP="000A2F2F">
      <w:pPr>
        <w:rPr>
          <w:rFonts w:ascii="Times New Roman" w:eastAsia="Times New Roman" w:hAnsi="Times New Roman" w:cs="Times New Roman"/>
          <w:kern w:val="0"/>
          <w:lang w:val="es-CO" w:eastAsia="es-MX"/>
          <w14:ligatures w14:val="none"/>
        </w:rPr>
      </w:pPr>
    </w:p>
    <w:p w14:paraId="387C29B0"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color w:val="000000"/>
          <w:kern w:val="0"/>
          <w:lang w:val="es-CO" w:eastAsia="es-MX"/>
          <w14:ligatures w14:val="none"/>
        </w:rPr>
        <w:t>Dado que se trata de una operación realizada directamente con el propietario (casa matriz), y no de una transacción con terceros, no procede el reconocimiento de ingresos o gastos en el estado de resultados, en la medida en que la operación representa un movimiento patrimonial con su activo asociado.</w:t>
      </w:r>
    </w:p>
    <w:p w14:paraId="0E580B00" w14:textId="77777777" w:rsidR="000A2F2F" w:rsidRPr="000A2F2F" w:rsidRDefault="000A2F2F" w:rsidP="000A2F2F">
      <w:pPr>
        <w:rPr>
          <w:rFonts w:ascii="Times New Roman" w:eastAsia="Times New Roman" w:hAnsi="Times New Roman" w:cs="Times New Roman"/>
          <w:kern w:val="0"/>
          <w:lang w:val="es-CO" w:eastAsia="es-MX"/>
          <w14:ligatures w14:val="none"/>
        </w:rPr>
      </w:pPr>
      <w:r w:rsidRPr="000A2F2F">
        <w:rPr>
          <w:rFonts w:ascii="Times New Roman" w:eastAsia="Times New Roman" w:hAnsi="Times New Roman" w:cs="Times New Roman"/>
          <w:kern w:val="0"/>
          <w:lang w:val="es-CO" w:eastAsia="es-MX"/>
          <w14:ligatures w14:val="none"/>
        </w:rPr>
        <w:br/>
      </w:r>
    </w:p>
    <w:p w14:paraId="62AAC31C" w14:textId="77777777" w:rsidR="000A2F2F" w:rsidRPr="000A2F2F" w:rsidRDefault="000A2F2F" w:rsidP="000A2F2F">
      <w:pPr>
        <w:numPr>
          <w:ilvl w:val="0"/>
          <w:numId w:val="4"/>
        </w:numPr>
        <w:jc w:val="both"/>
        <w:textAlignment w:val="baseline"/>
        <w:rPr>
          <w:rFonts w:ascii="Verdana" w:eastAsia="Times New Roman" w:hAnsi="Verdana" w:cs="Times New Roman"/>
          <w:b/>
          <w:bCs/>
          <w:i/>
          <w:iCs/>
          <w:color w:val="000000"/>
          <w:kern w:val="0"/>
          <w:lang w:val="es-CO" w:eastAsia="es-MX"/>
          <w14:ligatures w14:val="none"/>
        </w:rPr>
      </w:pPr>
      <w:r w:rsidRPr="000A2F2F">
        <w:rPr>
          <w:rFonts w:ascii="Verdana" w:eastAsia="Times New Roman" w:hAnsi="Verdana" w:cs="Times New Roman"/>
          <w:b/>
          <w:bCs/>
          <w:i/>
          <w:iCs/>
          <w:color w:val="000000"/>
          <w:kern w:val="0"/>
          <w:lang w:val="es-CO" w:eastAsia="es-MX"/>
          <w14:ligatures w14:val="none"/>
        </w:rPr>
        <w:t>Una sucursal de sociedad extranjera del régimen cambiario especial compra en Colombia una maquinaria ¿puede entregar a su casa matriz dicha maquinaria disminuyendo la inversión suplementaria al capital asignado (ISCA)? ¿Cómo sería el registro contable? ¿Por qué valor se entregaría?</w:t>
      </w:r>
    </w:p>
    <w:p w14:paraId="4C0BE748" w14:textId="77777777" w:rsidR="000A2F2F" w:rsidRPr="000A2F2F" w:rsidRDefault="000A2F2F" w:rsidP="000A2F2F">
      <w:pPr>
        <w:rPr>
          <w:rFonts w:ascii="Times New Roman" w:eastAsia="Times New Roman" w:hAnsi="Times New Roman" w:cs="Times New Roman"/>
          <w:kern w:val="0"/>
          <w:lang w:val="es-CO" w:eastAsia="es-MX"/>
          <w14:ligatures w14:val="none"/>
        </w:rPr>
      </w:pPr>
    </w:p>
    <w:p w14:paraId="7FB49463"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color w:val="000000"/>
          <w:kern w:val="0"/>
          <w:lang w:val="es-CO" w:eastAsia="es-MX"/>
          <w14:ligatures w14:val="none"/>
        </w:rPr>
        <w:t>Cuando una sucursal de sociedad extranjera adquiere una maquinaria en Colombia y posteriormente la entrega a su casa matriz, dicha operación, desde el punto de vista contable, se asimila a un retiro o “reembolso” de inversión, teniendo en cuenta que las sucursales no distribuyen utilidades a su casa matriz.</w:t>
      </w:r>
    </w:p>
    <w:p w14:paraId="4DAD94FF" w14:textId="77777777" w:rsidR="000A2F2F" w:rsidRPr="000A2F2F" w:rsidRDefault="000A2F2F" w:rsidP="000A2F2F">
      <w:pPr>
        <w:rPr>
          <w:rFonts w:ascii="Times New Roman" w:eastAsia="Times New Roman" w:hAnsi="Times New Roman" w:cs="Times New Roman"/>
          <w:kern w:val="0"/>
          <w:lang w:val="es-CO" w:eastAsia="es-MX"/>
          <w14:ligatures w14:val="none"/>
        </w:rPr>
      </w:pPr>
    </w:p>
    <w:p w14:paraId="1739DE38"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color w:val="000000"/>
          <w:kern w:val="0"/>
          <w:lang w:val="es-CO" w:eastAsia="es-MX"/>
          <w14:ligatures w14:val="none"/>
        </w:rPr>
        <w:t xml:space="preserve">Bajo los marcos técnicos normativos aplicables (Grupo 1 o Grupo 2 del </w:t>
      </w:r>
      <w:r w:rsidRPr="000A2F2F">
        <w:rPr>
          <w:rFonts w:ascii="Verdana" w:eastAsia="Times New Roman" w:hAnsi="Verdana" w:cs="Times New Roman"/>
          <w:color w:val="000000"/>
          <w:kern w:val="0"/>
          <w:u w:val="single"/>
          <w:lang w:val="es-CO" w:eastAsia="es-MX"/>
          <w14:ligatures w14:val="none"/>
        </w:rPr>
        <w:t>DUR 2420 de</w:t>
      </w:r>
      <w:r w:rsidRPr="000A2F2F">
        <w:rPr>
          <w:rFonts w:ascii="Verdana" w:eastAsia="Times New Roman" w:hAnsi="Verdana" w:cs="Times New Roman"/>
          <w:color w:val="000000"/>
          <w:kern w:val="0"/>
          <w:lang w:val="es-CO" w:eastAsia="es-MX"/>
          <w14:ligatures w14:val="none"/>
        </w:rPr>
        <w:t xml:space="preserve"> </w:t>
      </w:r>
      <w:hyperlink r:id="rId5" w:history="1">
        <w:r w:rsidRPr="000A2F2F">
          <w:rPr>
            <w:rFonts w:ascii="Verdana" w:eastAsia="Times New Roman" w:hAnsi="Verdana" w:cs="Times New Roman"/>
            <w:color w:val="000000"/>
            <w:kern w:val="0"/>
            <w:u w:val="single"/>
            <w:lang w:val="es-CO" w:eastAsia="es-MX"/>
            <w14:ligatures w14:val="none"/>
          </w:rPr>
          <w:t>2015</w:t>
        </w:r>
      </w:hyperlink>
      <w:r w:rsidRPr="000A2F2F">
        <w:rPr>
          <w:rFonts w:ascii="Verdana" w:eastAsia="Times New Roman" w:hAnsi="Verdana" w:cs="Times New Roman"/>
          <w:color w:val="000000"/>
          <w:kern w:val="0"/>
          <w:lang w:val="es-CO" w:eastAsia="es-MX"/>
          <w14:ligatures w14:val="none"/>
        </w:rPr>
        <w:t>) el tratamiento contable será el siguiente: El activo fijo deberá darse de baja por su valor en libros a la fecha de la entrega, correspondiente a su costo menos la depreciación acumulada, y la contrapartida dependerá de la naturaleza económica de la operación y de la forma en que la relación con la casa matriz se encuentre reconocida contablemente, pudiendo reflejarse como:</w:t>
      </w:r>
    </w:p>
    <w:p w14:paraId="220ECD2F" w14:textId="77777777" w:rsidR="000A2F2F" w:rsidRPr="000A2F2F" w:rsidRDefault="000A2F2F" w:rsidP="000A2F2F">
      <w:pPr>
        <w:rPr>
          <w:rFonts w:ascii="Times New Roman" w:eastAsia="Times New Roman" w:hAnsi="Times New Roman" w:cs="Times New Roman"/>
          <w:kern w:val="0"/>
          <w:lang w:val="es-CO" w:eastAsia="es-MX"/>
          <w14:ligatures w14:val="none"/>
        </w:rPr>
      </w:pPr>
      <w:r w:rsidRPr="000A2F2F">
        <w:rPr>
          <w:rFonts w:ascii="Times New Roman" w:eastAsia="Times New Roman" w:hAnsi="Times New Roman" w:cs="Times New Roman"/>
          <w:kern w:val="0"/>
          <w:lang w:val="es-CO" w:eastAsia="es-MX"/>
          <w14:ligatures w14:val="none"/>
        </w:rPr>
        <w:br/>
      </w:r>
    </w:p>
    <w:p w14:paraId="2CE23873" w14:textId="77777777" w:rsidR="000A2F2F" w:rsidRPr="000A2F2F" w:rsidRDefault="000A2F2F" w:rsidP="000A2F2F">
      <w:pPr>
        <w:numPr>
          <w:ilvl w:val="0"/>
          <w:numId w:val="5"/>
        </w:numPr>
        <w:jc w:val="both"/>
        <w:textAlignment w:val="baseline"/>
        <w:rPr>
          <w:rFonts w:ascii="Verdana" w:eastAsia="Times New Roman" w:hAnsi="Verdana" w:cs="Times New Roman"/>
          <w:color w:val="000000"/>
          <w:kern w:val="0"/>
          <w:lang w:val="es-CO" w:eastAsia="es-MX"/>
          <w14:ligatures w14:val="none"/>
        </w:rPr>
      </w:pPr>
      <w:r w:rsidRPr="000A2F2F">
        <w:rPr>
          <w:rFonts w:ascii="Verdana" w:eastAsia="Times New Roman" w:hAnsi="Verdana" w:cs="Times New Roman"/>
          <w:color w:val="000000"/>
          <w:kern w:val="0"/>
          <w:lang w:val="es-CO" w:eastAsia="es-MX"/>
          <w14:ligatures w14:val="none"/>
        </w:rPr>
        <w:t>Una disminución de la inversión suplementaria al capital asignado, cuando la operación represente un ajuste patrimonial.</w:t>
      </w:r>
    </w:p>
    <w:p w14:paraId="7D9C6C57" w14:textId="77777777" w:rsidR="000A2F2F" w:rsidRPr="000A2F2F" w:rsidRDefault="000A2F2F" w:rsidP="000A2F2F">
      <w:pPr>
        <w:numPr>
          <w:ilvl w:val="0"/>
          <w:numId w:val="6"/>
        </w:numPr>
        <w:jc w:val="both"/>
        <w:textAlignment w:val="baseline"/>
        <w:rPr>
          <w:rFonts w:ascii="Verdana" w:eastAsia="Times New Roman" w:hAnsi="Verdana" w:cs="Times New Roman"/>
          <w:color w:val="000000"/>
          <w:kern w:val="0"/>
          <w:lang w:val="es-CO" w:eastAsia="es-MX"/>
          <w14:ligatures w14:val="none"/>
        </w:rPr>
      </w:pPr>
      <w:r w:rsidRPr="000A2F2F">
        <w:rPr>
          <w:rFonts w:ascii="Verdana" w:eastAsia="Times New Roman" w:hAnsi="Verdana" w:cs="Times New Roman"/>
          <w:color w:val="000000"/>
          <w:kern w:val="0"/>
          <w:lang w:val="es-CO" w:eastAsia="es-MX"/>
          <w14:ligatures w14:val="none"/>
        </w:rPr>
        <w:t>Una afectación a las cuentas recíprocas con la casa matriz, según corresponda.</w:t>
      </w:r>
    </w:p>
    <w:p w14:paraId="74F53A44" w14:textId="77777777" w:rsidR="000A2F2F" w:rsidRPr="000A2F2F" w:rsidRDefault="000A2F2F" w:rsidP="000A2F2F">
      <w:pPr>
        <w:rPr>
          <w:rFonts w:ascii="Times New Roman" w:eastAsia="Times New Roman" w:hAnsi="Times New Roman" w:cs="Times New Roman"/>
          <w:kern w:val="0"/>
          <w:lang w:val="es-CO" w:eastAsia="es-MX"/>
          <w14:ligatures w14:val="none"/>
        </w:rPr>
      </w:pPr>
    </w:p>
    <w:p w14:paraId="7EC93BDC"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color w:val="000000"/>
          <w:kern w:val="0"/>
          <w:lang w:val="es-CO" w:eastAsia="es-MX"/>
          <w14:ligatures w14:val="none"/>
        </w:rPr>
        <w:t>En todos los casos, el importe por el cual se reconoce la baja del activo será su valor en libros, sin que se generen efectos en los resultados del período, por tratarse de una transacción patrimonial con el propietario.</w:t>
      </w:r>
    </w:p>
    <w:p w14:paraId="090A5C30" w14:textId="77777777" w:rsidR="000A2F2F" w:rsidRPr="000A2F2F" w:rsidRDefault="000A2F2F" w:rsidP="000A2F2F">
      <w:pPr>
        <w:rPr>
          <w:rFonts w:ascii="Times New Roman" w:eastAsia="Times New Roman" w:hAnsi="Times New Roman" w:cs="Times New Roman"/>
          <w:kern w:val="0"/>
          <w:lang w:val="es-CO" w:eastAsia="es-MX"/>
          <w14:ligatures w14:val="none"/>
        </w:rPr>
      </w:pPr>
    </w:p>
    <w:p w14:paraId="6D7F5B40"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49DCA0D5" w14:textId="77777777" w:rsidR="000A2F2F" w:rsidRPr="000A2F2F" w:rsidRDefault="000A2F2F" w:rsidP="000A2F2F">
      <w:pPr>
        <w:spacing w:after="240"/>
        <w:rPr>
          <w:rFonts w:ascii="Times New Roman" w:eastAsia="Times New Roman" w:hAnsi="Times New Roman" w:cs="Times New Roman"/>
          <w:kern w:val="0"/>
          <w:lang w:val="es-CO" w:eastAsia="es-MX"/>
          <w14:ligatures w14:val="none"/>
        </w:rPr>
      </w:pPr>
    </w:p>
    <w:p w14:paraId="3012EB83"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color w:val="000000"/>
          <w:kern w:val="0"/>
          <w:lang w:val="es-CO" w:eastAsia="es-MX"/>
          <w14:ligatures w14:val="none"/>
        </w:rPr>
        <w:t>Cordialmente,</w:t>
      </w:r>
    </w:p>
    <w:p w14:paraId="60E1DC27" w14:textId="77777777" w:rsidR="000A2F2F" w:rsidRPr="000A2F2F" w:rsidRDefault="000A2F2F" w:rsidP="000A2F2F">
      <w:pPr>
        <w:spacing w:after="240"/>
        <w:rPr>
          <w:rFonts w:ascii="Times New Roman" w:eastAsia="Times New Roman" w:hAnsi="Times New Roman" w:cs="Times New Roman"/>
          <w:kern w:val="0"/>
          <w:lang w:val="es-CO" w:eastAsia="es-MX"/>
          <w14:ligatures w14:val="none"/>
        </w:rPr>
      </w:pPr>
      <w:r w:rsidRPr="000A2F2F">
        <w:rPr>
          <w:rFonts w:ascii="Times New Roman" w:eastAsia="Times New Roman" w:hAnsi="Times New Roman" w:cs="Times New Roman"/>
          <w:kern w:val="0"/>
          <w:lang w:val="es-CO" w:eastAsia="es-MX"/>
          <w14:ligatures w14:val="none"/>
        </w:rPr>
        <w:br/>
      </w:r>
    </w:p>
    <w:p w14:paraId="53C79CA8"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b/>
          <w:bCs/>
          <w:color w:val="000000"/>
          <w:kern w:val="0"/>
          <w:lang w:val="es-CO" w:eastAsia="es-MX"/>
          <w14:ligatures w14:val="none"/>
        </w:rPr>
        <w:t>JORGE HERNANDO RODRÍGUEZ HERRERA</w:t>
      </w:r>
    </w:p>
    <w:p w14:paraId="2BD1C6BA" w14:textId="77777777" w:rsidR="000A2F2F" w:rsidRPr="000A2F2F" w:rsidRDefault="000A2F2F" w:rsidP="000A2F2F">
      <w:pPr>
        <w:jc w:val="both"/>
        <w:rPr>
          <w:rFonts w:ascii="Times New Roman" w:eastAsia="Times New Roman" w:hAnsi="Times New Roman" w:cs="Times New Roman"/>
          <w:kern w:val="0"/>
          <w:lang w:val="es-CO" w:eastAsia="es-MX"/>
          <w14:ligatures w14:val="none"/>
        </w:rPr>
      </w:pPr>
      <w:r w:rsidRPr="000A2F2F">
        <w:rPr>
          <w:rFonts w:ascii="Verdana" w:eastAsia="Times New Roman" w:hAnsi="Verdana" w:cs="Times New Roman"/>
          <w:color w:val="000000"/>
          <w:kern w:val="0"/>
          <w:lang w:val="es-CO" w:eastAsia="es-MX"/>
          <w14:ligatures w14:val="none"/>
        </w:rPr>
        <w:t>Consejero – CTCP</w:t>
      </w:r>
    </w:p>
    <w:p w14:paraId="29C1A46A" w14:textId="77777777" w:rsidR="000A2F2F" w:rsidRPr="000A2F2F" w:rsidRDefault="000A2F2F" w:rsidP="000A2F2F">
      <w:pPr>
        <w:rPr>
          <w:rFonts w:ascii="Times New Roman" w:eastAsia="Times New Roman" w:hAnsi="Times New Roman" w:cs="Times New Roman"/>
          <w:kern w:val="0"/>
          <w:lang w:val="es-CO" w:eastAsia="es-MX"/>
          <w14:ligatures w14:val="none"/>
        </w:rPr>
      </w:pPr>
    </w:p>
    <w:p w14:paraId="4C405F23"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67C65"/>
    <w:multiLevelType w:val="multilevel"/>
    <w:tmpl w:val="FAD8F5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8065837"/>
    <w:multiLevelType w:val="multilevel"/>
    <w:tmpl w:val="0994D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8E813AF"/>
    <w:multiLevelType w:val="multilevel"/>
    <w:tmpl w:val="861EA2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D290B31"/>
    <w:multiLevelType w:val="multilevel"/>
    <w:tmpl w:val="0144C5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31B4507"/>
    <w:multiLevelType w:val="multilevel"/>
    <w:tmpl w:val="DDD8595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84217099">
    <w:abstractNumId w:val="0"/>
  </w:num>
  <w:num w:numId="2" w16cid:durableId="1103384899">
    <w:abstractNumId w:val="2"/>
    <w:lvlOverride w:ilvl="0">
      <w:lvl w:ilvl="0">
        <w:numFmt w:val="decimal"/>
        <w:lvlText w:val="%1."/>
        <w:lvlJc w:val="left"/>
      </w:lvl>
    </w:lvlOverride>
  </w:num>
  <w:num w:numId="3" w16cid:durableId="1036009771">
    <w:abstractNumId w:val="3"/>
  </w:num>
  <w:num w:numId="4" w16cid:durableId="251206309">
    <w:abstractNumId w:val="4"/>
    <w:lvlOverride w:ilvl="0">
      <w:lvl w:ilvl="0">
        <w:numFmt w:val="decimal"/>
        <w:lvlText w:val="%1."/>
        <w:lvlJc w:val="left"/>
      </w:lvl>
    </w:lvlOverride>
  </w:num>
  <w:num w:numId="5" w16cid:durableId="496043297">
    <w:abstractNumId w:val="1"/>
    <w:lvlOverride w:ilvl="0">
      <w:lvl w:ilvl="0">
        <w:numFmt w:val="lowerLetter"/>
        <w:lvlText w:val="%1."/>
        <w:lvlJc w:val="left"/>
      </w:lvl>
    </w:lvlOverride>
  </w:num>
  <w:num w:numId="6" w16cid:durableId="721441889">
    <w:abstractNumId w:val="1"/>
    <w:lvlOverride w:ilvl="0">
      <w:lvl w:ilvl="0">
        <w:numFmt w:val="lowerLetter"/>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F2F"/>
    <w:rsid w:val="000A2F2F"/>
    <w:rsid w:val="000B2285"/>
    <w:rsid w:val="00537D8F"/>
    <w:rsid w:val="008C61E1"/>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675A3D72"/>
  <w14:defaultImageDpi w14:val="32767"/>
  <w15:chartTrackingRefBased/>
  <w15:docId w15:val="{201385A2-D280-6F4F-99E0-63EF0113E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A2F2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0A2F2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0A2F2F"/>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0A2F2F"/>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0A2F2F"/>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0A2F2F"/>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A2F2F"/>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A2F2F"/>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A2F2F"/>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A2F2F"/>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0A2F2F"/>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0A2F2F"/>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0A2F2F"/>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0A2F2F"/>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0A2F2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A2F2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A2F2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A2F2F"/>
    <w:rPr>
      <w:rFonts w:eastAsiaTheme="majorEastAsia" w:cstheme="majorBidi"/>
      <w:color w:val="272727" w:themeColor="text1" w:themeTint="D8"/>
    </w:rPr>
  </w:style>
  <w:style w:type="paragraph" w:styleId="Ttulo">
    <w:name w:val="Title"/>
    <w:basedOn w:val="Normal"/>
    <w:next w:val="Normal"/>
    <w:link w:val="TtuloCar"/>
    <w:uiPriority w:val="10"/>
    <w:qFormat/>
    <w:rsid w:val="000A2F2F"/>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A2F2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A2F2F"/>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A2F2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A2F2F"/>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0A2F2F"/>
    <w:rPr>
      <w:i/>
      <w:iCs/>
      <w:color w:val="404040" w:themeColor="text1" w:themeTint="BF"/>
    </w:rPr>
  </w:style>
  <w:style w:type="paragraph" w:styleId="Prrafodelista">
    <w:name w:val="List Paragraph"/>
    <w:basedOn w:val="Normal"/>
    <w:uiPriority w:val="34"/>
    <w:qFormat/>
    <w:rsid w:val="000A2F2F"/>
    <w:pPr>
      <w:ind w:left="720"/>
      <w:contextualSpacing/>
    </w:pPr>
  </w:style>
  <w:style w:type="character" w:styleId="nfasisintenso">
    <w:name w:val="Intense Emphasis"/>
    <w:basedOn w:val="Fuentedeprrafopredeter"/>
    <w:uiPriority w:val="21"/>
    <w:qFormat/>
    <w:rsid w:val="000A2F2F"/>
    <w:rPr>
      <w:i/>
      <w:iCs/>
      <w:color w:val="2F5496" w:themeColor="accent1" w:themeShade="BF"/>
    </w:rPr>
  </w:style>
  <w:style w:type="paragraph" w:styleId="Citadestacada">
    <w:name w:val="Intense Quote"/>
    <w:basedOn w:val="Normal"/>
    <w:next w:val="Normal"/>
    <w:link w:val="CitadestacadaCar"/>
    <w:uiPriority w:val="30"/>
    <w:qFormat/>
    <w:rsid w:val="000A2F2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0A2F2F"/>
    <w:rPr>
      <w:i/>
      <w:iCs/>
      <w:color w:val="2F5496" w:themeColor="accent1" w:themeShade="BF"/>
    </w:rPr>
  </w:style>
  <w:style w:type="character" w:styleId="Referenciaintensa">
    <w:name w:val="Intense Reference"/>
    <w:basedOn w:val="Fuentedeprrafopredeter"/>
    <w:uiPriority w:val="32"/>
    <w:qFormat/>
    <w:rsid w:val="000A2F2F"/>
    <w:rPr>
      <w:b/>
      <w:bCs/>
      <w:smallCaps/>
      <w:color w:val="2F5496" w:themeColor="accent1" w:themeShade="BF"/>
      <w:spacing w:val="5"/>
    </w:rPr>
  </w:style>
  <w:style w:type="paragraph" w:styleId="NormalWeb">
    <w:name w:val="Normal (Web)"/>
    <w:basedOn w:val="Normal"/>
    <w:uiPriority w:val="99"/>
    <w:semiHidden/>
    <w:unhideWhenUsed/>
    <w:rsid w:val="000A2F2F"/>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0A2F2F"/>
  </w:style>
  <w:style w:type="character" w:styleId="Hipervnculo">
    <w:name w:val="Hyperlink"/>
    <w:basedOn w:val="Fuentedeprrafopredeter"/>
    <w:uiPriority w:val="99"/>
    <w:semiHidden/>
    <w:unhideWhenUsed/>
    <w:rsid w:val="000A2F2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ctcp.gov.co/normatividad/normas-locales/leyes-1/vigencias-anexos-tecnicos-normativos-del-decreto-u/vigencias-anexos-tecnicos-dur2420-completo-29-04-3"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979</Words>
  <Characters>5387</Characters>
  <Application>Microsoft Office Word</Application>
  <DocSecurity>0</DocSecurity>
  <Lines>44</Lines>
  <Paragraphs>12</Paragraphs>
  <ScaleCrop>false</ScaleCrop>
  <Company/>
  <LinksUpToDate>false</LinksUpToDate>
  <CharactersWithSpaces>6354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2026-01-09T14:20:00Z</dcterms:created>
  <dcterms:modified xsi:type="dcterms:W3CDTF">2026-01-09T14:21:00Z</dcterms:modified>
</cp:coreProperties>
</file>