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530E0"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b/>
          <w:bCs/>
          <w:color w:val="000000"/>
          <w:kern w:val="0"/>
          <w:lang w:val="es-CO" w:eastAsia="es-MX"/>
          <w14:ligatures w14:val="none"/>
        </w:rPr>
        <w:t>CONCEPTO 322 DEL 3 DE DICIEMBRE DE 2025</w:t>
      </w:r>
    </w:p>
    <w:p w14:paraId="0940E230"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b/>
          <w:bCs/>
          <w:color w:val="000000"/>
          <w:kern w:val="0"/>
          <w:lang w:val="es-CO" w:eastAsia="es-MX"/>
          <w14:ligatures w14:val="none"/>
        </w:rPr>
        <w:t>CONSEJO TÉCNICO DE LA CONTADURÍA PÚBLICA</w:t>
      </w:r>
    </w:p>
    <w:p w14:paraId="1931F2A1"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2C35BDE4"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Bogotá, D.C., </w:t>
      </w:r>
    </w:p>
    <w:p w14:paraId="24C29E89"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5948A4EA"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Señor (a)</w:t>
      </w:r>
    </w:p>
    <w:p w14:paraId="52EB9939" w14:textId="77777777" w:rsidR="00C0552D" w:rsidRPr="00C0552D" w:rsidRDefault="00C0552D" w:rsidP="00C0552D">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2285"/>
        <w:gridCol w:w="6543"/>
      </w:tblGrid>
      <w:tr w:rsidR="00C0552D" w:rsidRPr="00C0552D" w14:paraId="4F19F3C4" w14:textId="77777777">
        <w:trPr>
          <w:trHeight w:val="264"/>
        </w:trPr>
        <w:tc>
          <w:tcPr>
            <w:tcW w:w="0" w:type="auto"/>
            <w:gridSpan w:val="2"/>
            <w:tcBorders>
              <w:left w:val="single" w:sz="4" w:space="0" w:color="000000"/>
              <w:right w:val="single" w:sz="4" w:space="0" w:color="000000"/>
            </w:tcBorders>
            <w:shd w:val="clear" w:color="auto" w:fill="000000"/>
            <w:hideMark/>
          </w:tcPr>
          <w:p w14:paraId="3361EEFB"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b/>
                <w:bCs/>
                <w:color w:val="FFFFFF"/>
                <w:kern w:val="0"/>
                <w:lang w:val="es-CO" w:eastAsia="es-MX"/>
                <w14:ligatures w14:val="none"/>
              </w:rPr>
              <w:t>Referencia</w:t>
            </w:r>
          </w:p>
        </w:tc>
      </w:tr>
      <w:tr w:rsidR="00C0552D" w:rsidRPr="00C0552D" w14:paraId="6FA1BEF7" w14:textId="77777777">
        <w:trPr>
          <w:trHeight w:val="243"/>
        </w:trPr>
        <w:tc>
          <w:tcPr>
            <w:tcW w:w="0" w:type="auto"/>
            <w:tcBorders>
              <w:left w:val="single" w:sz="4" w:space="0" w:color="000000"/>
            </w:tcBorders>
            <w:hideMark/>
          </w:tcPr>
          <w:p w14:paraId="31A98537"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b/>
                <w:bCs/>
                <w:color w:val="000000"/>
                <w:kern w:val="0"/>
                <w:lang w:val="es-CO" w:eastAsia="es-MX"/>
                <w14:ligatures w14:val="none"/>
              </w:rPr>
              <w:t>No. del Radicado</w:t>
            </w:r>
          </w:p>
        </w:tc>
        <w:tc>
          <w:tcPr>
            <w:tcW w:w="0" w:type="auto"/>
            <w:tcBorders>
              <w:right w:val="single" w:sz="4" w:space="0" w:color="000000"/>
            </w:tcBorders>
            <w:hideMark/>
          </w:tcPr>
          <w:p w14:paraId="4F684EBE"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b/>
                <w:bCs/>
                <w:color w:val="000000"/>
                <w:kern w:val="0"/>
                <w:lang w:val="es-CO" w:eastAsia="es-MX"/>
                <w14:ligatures w14:val="none"/>
              </w:rPr>
              <w:t>1-2025-041837 / 1-2025-041839</w:t>
            </w:r>
          </w:p>
        </w:tc>
      </w:tr>
      <w:tr w:rsidR="00C0552D" w:rsidRPr="00C0552D" w14:paraId="275C7B9B" w14:textId="77777777">
        <w:trPr>
          <w:trHeight w:val="243"/>
        </w:trPr>
        <w:tc>
          <w:tcPr>
            <w:tcW w:w="0" w:type="auto"/>
            <w:tcBorders>
              <w:left w:val="single" w:sz="4" w:space="0" w:color="000000"/>
            </w:tcBorders>
            <w:hideMark/>
          </w:tcPr>
          <w:p w14:paraId="2B27F1CF"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b/>
                <w:bCs/>
                <w:color w:val="000000"/>
                <w:kern w:val="0"/>
                <w:lang w:val="es-CO" w:eastAsia="es-MX"/>
                <w14:ligatures w14:val="none"/>
              </w:rPr>
              <w:t>Fecha de Radicado</w:t>
            </w:r>
          </w:p>
        </w:tc>
        <w:tc>
          <w:tcPr>
            <w:tcW w:w="0" w:type="auto"/>
            <w:tcBorders>
              <w:right w:val="single" w:sz="4" w:space="0" w:color="000000"/>
            </w:tcBorders>
            <w:hideMark/>
          </w:tcPr>
          <w:p w14:paraId="36745137"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b/>
                <w:bCs/>
                <w:color w:val="000000"/>
                <w:kern w:val="0"/>
                <w:lang w:val="es-CO" w:eastAsia="es-MX"/>
                <w14:ligatures w14:val="none"/>
              </w:rPr>
              <w:t>03 de diciembre de 2025</w:t>
            </w:r>
          </w:p>
        </w:tc>
      </w:tr>
      <w:tr w:rsidR="00C0552D" w:rsidRPr="00C0552D" w14:paraId="1E2B5AC4" w14:textId="77777777">
        <w:trPr>
          <w:trHeight w:val="243"/>
        </w:trPr>
        <w:tc>
          <w:tcPr>
            <w:tcW w:w="0" w:type="auto"/>
            <w:tcBorders>
              <w:left w:val="single" w:sz="4" w:space="0" w:color="000000"/>
            </w:tcBorders>
            <w:hideMark/>
          </w:tcPr>
          <w:p w14:paraId="21FEADDF"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b/>
                <w:bCs/>
                <w:color w:val="000000"/>
                <w:kern w:val="0"/>
                <w:lang w:val="es-CO" w:eastAsia="es-MX"/>
                <w14:ligatures w14:val="none"/>
              </w:rPr>
              <w:t>N.º de Radicación CTCP</w:t>
            </w:r>
          </w:p>
        </w:tc>
        <w:tc>
          <w:tcPr>
            <w:tcW w:w="0" w:type="auto"/>
            <w:tcBorders>
              <w:right w:val="single" w:sz="4" w:space="0" w:color="000000"/>
            </w:tcBorders>
            <w:hideMark/>
          </w:tcPr>
          <w:p w14:paraId="4260FF35"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b/>
                <w:bCs/>
                <w:color w:val="000000"/>
                <w:kern w:val="0"/>
                <w:lang w:val="es-CO" w:eastAsia="es-MX"/>
                <w14:ligatures w14:val="none"/>
              </w:rPr>
              <w:t>2025-0322</w:t>
            </w:r>
          </w:p>
        </w:tc>
      </w:tr>
      <w:tr w:rsidR="00C0552D" w:rsidRPr="00C0552D" w14:paraId="65E84DC1" w14:textId="77777777">
        <w:trPr>
          <w:trHeight w:val="242"/>
        </w:trPr>
        <w:tc>
          <w:tcPr>
            <w:tcW w:w="0" w:type="auto"/>
            <w:tcBorders>
              <w:left w:val="single" w:sz="4" w:space="0" w:color="000000"/>
            </w:tcBorders>
            <w:hideMark/>
          </w:tcPr>
          <w:p w14:paraId="0045C1C3"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b/>
                <w:bCs/>
                <w:color w:val="000000"/>
                <w:kern w:val="0"/>
                <w:lang w:val="es-CO" w:eastAsia="es-MX"/>
                <w14:ligatures w14:val="none"/>
              </w:rPr>
              <w:t>Tema</w:t>
            </w:r>
          </w:p>
        </w:tc>
        <w:tc>
          <w:tcPr>
            <w:tcW w:w="0" w:type="auto"/>
            <w:tcBorders>
              <w:right w:val="single" w:sz="4" w:space="0" w:color="000000"/>
            </w:tcBorders>
            <w:hideMark/>
          </w:tcPr>
          <w:p w14:paraId="0F26FDEE"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b/>
                <w:bCs/>
                <w:color w:val="000000"/>
                <w:kern w:val="0"/>
                <w:lang w:val="es-CO" w:eastAsia="es-MX"/>
                <w14:ligatures w14:val="none"/>
              </w:rPr>
              <w:t>Reconocimiento contable de gastos sin erogación y/o salida de recursos económicos</w:t>
            </w:r>
          </w:p>
        </w:tc>
      </w:tr>
    </w:tbl>
    <w:p w14:paraId="1BFBD976"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27D24295" w14:textId="77777777" w:rsidR="00C0552D" w:rsidRPr="00C0552D" w:rsidRDefault="00C0552D" w:rsidP="00C0552D">
      <w:pPr>
        <w:jc w:val="both"/>
        <w:outlineLvl w:val="0"/>
        <w:rPr>
          <w:rFonts w:ascii="Times New Roman" w:eastAsia="Times New Roman" w:hAnsi="Times New Roman" w:cs="Times New Roman"/>
          <w:b/>
          <w:bCs/>
          <w:kern w:val="36"/>
          <w:sz w:val="48"/>
          <w:szCs w:val="48"/>
          <w:lang w:val="es-CO" w:eastAsia="es-MX"/>
          <w14:ligatures w14:val="none"/>
        </w:rPr>
      </w:pPr>
      <w:r w:rsidRPr="00C0552D">
        <w:rPr>
          <w:rFonts w:ascii="Verdana" w:eastAsia="Times New Roman" w:hAnsi="Verdana" w:cs="Times New Roman"/>
          <w:b/>
          <w:bCs/>
          <w:color w:val="000000"/>
          <w:kern w:val="36"/>
          <w:lang w:val="es-CO" w:eastAsia="es-MX"/>
          <w14:ligatures w14:val="none"/>
        </w:rPr>
        <w:t>CONSULTA (TEXTUAL)</w:t>
      </w:r>
    </w:p>
    <w:p w14:paraId="4851293E"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6CA80491"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i/>
          <w:iCs/>
          <w:color w:val="000000"/>
          <w:kern w:val="0"/>
          <w:lang w:val="es-CO" w:eastAsia="es-MX"/>
          <w14:ligatures w14:val="none"/>
        </w:rPr>
        <w:t>“(…)</w:t>
      </w:r>
    </w:p>
    <w:p w14:paraId="04C40EBD"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707616E3"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i/>
          <w:iCs/>
          <w:color w:val="212529"/>
          <w:kern w:val="0"/>
          <w:lang w:val="es-CO" w:eastAsia="es-MX"/>
          <w14:ligatures w14:val="none"/>
        </w:rPr>
        <w:t>¿Puede considerarse como un gasto efectivamente realizado, desde el punto contable y fiscal, una operación de pago interno realizada por una empresa que presta directamente un servicio funerario, cuando asume el costo operativo sin flujo de efectivo externo, conforme al principio de sustancia sobre forma (artículo 3 del Decreto 2649 de 1993)?</w:t>
      </w:r>
    </w:p>
    <w:p w14:paraId="7D590570"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5B328702"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i/>
          <w:iCs/>
          <w:color w:val="000000"/>
          <w:kern w:val="0"/>
          <w:lang w:val="es-CO" w:eastAsia="es-MX"/>
          <w14:ligatures w14:val="none"/>
        </w:rPr>
        <w:t>(…)”</w:t>
      </w:r>
    </w:p>
    <w:p w14:paraId="3C72322A"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03FB5851" w14:textId="77777777" w:rsidR="00C0552D" w:rsidRPr="00C0552D" w:rsidRDefault="00C0552D" w:rsidP="00C0552D">
      <w:pPr>
        <w:jc w:val="both"/>
        <w:outlineLvl w:val="0"/>
        <w:rPr>
          <w:rFonts w:ascii="Times New Roman" w:eastAsia="Times New Roman" w:hAnsi="Times New Roman" w:cs="Times New Roman"/>
          <w:b/>
          <w:bCs/>
          <w:kern w:val="36"/>
          <w:sz w:val="48"/>
          <w:szCs w:val="48"/>
          <w:lang w:val="es-CO" w:eastAsia="es-MX"/>
          <w14:ligatures w14:val="none"/>
        </w:rPr>
      </w:pPr>
      <w:r w:rsidRPr="00C0552D">
        <w:rPr>
          <w:rFonts w:ascii="Verdana" w:eastAsia="Times New Roman" w:hAnsi="Verdana" w:cs="Times New Roman"/>
          <w:b/>
          <w:bCs/>
          <w:color w:val="000000"/>
          <w:kern w:val="36"/>
          <w:lang w:val="es-CO" w:eastAsia="es-MX"/>
          <w14:ligatures w14:val="none"/>
        </w:rPr>
        <w:t>RESUMEN:</w:t>
      </w:r>
    </w:p>
    <w:p w14:paraId="5C77D3D8"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7C06FD0D"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 xml:space="preserve">El reconocimiento de un gasto en los estados financieros procede cuando este tiene relación con un ingreso o cuando, como consecuencia de su reconocimiento, se obtienen beneficios económicos, conforme al principio de devengo y a los criterios de reconocimiento establecidos en los marcos técnicos normativos de información financiera. En este contexto, la existencia de un flujo de efectivo no constituye un requisito para el reconocimiento contable del gasto; lo relevante es la existencia del hecho económico y su adecuado </w:t>
      </w:r>
      <w:r w:rsidRPr="00C0552D">
        <w:rPr>
          <w:rFonts w:ascii="Verdana" w:eastAsia="Times New Roman" w:hAnsi="Verdana" w:cs="Times New Roman"/>
          <w:b/>
          <w:bCs/>
          <w:color w:val="000000"/>
          <w:kern w:val="0"/>
          <w:lang w:val="es-CO" w:eastAsia="es-MX"/>
          <w14:ligatures w14:val="none"/>
        </w:rPr>
        <w:t>soporte</w:t>
      </w:r>
      <w:r w:rsidRPr="00C0552D">
        <w:rPr>
          <w:rFonts w:ascii="Verdana" w:eastAsia="Times New Roman" w:hAnsi="Verdana" w:cs="Times New Roman"/>
          <w:color w:val="000000"/>
          <w:kern w:val="0"/>
          <w:lang w:val="es-CO" w:eastAsia="es-MX"/>
          <w14:ligatures w14:val="none"/>
        </w:rPr>
        <w:t>.</w:t>
      </w:r>
    </w:p>
    <w:p w14:paraId="3326D808"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743A6B91"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Se precisa que el Decreto 2649 de 1993 fue derogado integralmente, y que los criterios actualmente aplicables corresponden a los marcos técnicos normativos incorporados en el Decreto Único Reglamentario 2420 de 2015 y sus modificaciones.</w:t>
      </w:r>
    </w:p>
    <w:p w14:paraId="003D9084"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54DDCE93" w14:textId="77777777" w:rsidR="00C0552D" w:rsidRPr="00C0552D" w:rsidRDefault="00C0552D" w:rsidP="00C0552D">
      <w:pPr>
        <w:jc w:val="both"/>
        <w:outlineLvl w:val="0"/>
        <w:rPr>
          <w:rFonts w:ascii="Times New Roman" w:eastAsia="Times New Roman" w:hAnsi="Times New Roman" w:cs="Times New Roman"/>
          <w:b/>
          <w:bCs/>
          <w:kern w:val="36"/>
          <w:sz w:val="48"/>
          <w:szCs w:val="48"/>
          <w:lang w:val="es-CO" w:eastAsia="es-MX"/>
          <w14:ligatures w14:val="none"/>
        </w:rPr>
      </w:pPr>
      <w:r w:rsidRPr="00C0552D">
        <w:rPr>
          <w:rFonts w:ascii="Verdana" w:eastAsia="Times New Roman" w:hAnsi="Verdana" w:cs="Times New Roman"/>
          <w:b/>
          <w:bCs/>
          <w:color w:val="000000"/>
          <w:kern w:val="36"/>
          <w:lang w:val="es-CO" w:eastAsia="es-MX"/>
          <w14:ligatures w14:val="none"/>
        </w:rPr>
        <w:lastRenderedPageBreak/>
        <w:t>CONSIDERACIONES Y CONCEPTO</w:t>
      </w:r>
    </w:p>
    <w:p w14:paraId="5C4AC733"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3BC8EA09"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25C73470"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66336601"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 xml:space="preserve">Previo a dar respuesta a la consulta planteada, es pertinente aclarar que el </w:t>
      </w:r>
      <w:hyperlink r:id="rId5" w:history="1">
        <w:r w:rsidRPr="00C0552D">
          <w:rPr>
            <w:rFonts w:ascii="Verdana" w:eastAsia="Times New Roman" w:hAnsi="Verdana" w:cs="Times New Roman"/>
            <w:color w:val="0000FF"/>
            <w:kern w:val="0"/>
            <w:u w:val="single"/>
            <w:lang w:val="es-CO" w:eastAsia="es-MX"/>
            <w14:ligatures w14:val="none"/>
          </w:rPr>
          <w:t>Decreto</w:t>
        </w:r>
      </w:hyperlink>
      <w:r w:rsidRPr="00C0552D">
        <w:rPr>
          <w:rFonts w:ascii="Verdana" w:eastAsia="Times New Roman" w:hAnsi="Verdana" w:cs="Times New Roman"/>
          <w:color w:val="0000FF"/>
          <w:kern w:val="0"/>
          <w:lang w:val="es-CO" w:eastAsia="es-MX"/>
          <w14:ligatures w14:val="none"/>
        </w:rPr>
        <w:t xml:space="preserve"> </w:t>
      </w:r>
      <w:hyperlink r:id="rId6" w:history="1">
        <w:r w:rsidRPr="00C0552D">
          <w:rPr>
            <w:rFonts w:ascii="Verdana" w:eastAsia="Times New Roman" w:hAnsi="Verdana" w:cs="Times New Roman"/>
            <w:color w:val="0000FF"/>
            <w:kern w:val="0"/>
            <w:u w:val="single"/>
            <w:lang w:val="es-CO" w:eastAsia="es-MX"/>
            <w14:ligatures w14:val="none"/>
          </w:rPr>
          <w:t>2649 de 1993</w:t>
        </w:r>
      </w:hyperlink>
      <w:r w:rsidRPr="00C0552D">
        <w:rPr>
          <w:rFonts w:ascii="Verdana" w:eastAsia="Times New Roman" w:hAnsi="Verdana" w:cs="Times New Roman"/>
          <w:color w:val="0000FF"/>
          <w:kern w:val="0"/>
          <w:lang w:val="es-CO" w:eastAsia="es-MX"/>
          <w14:ligatures w14:val="none"/>
        </w:rPr>
        <w:t xml:space="preserve"> </w:t>
      </w:r>
      <w:r w:rsidRPr="00C0552D">
        <w:rPr>
          <w:rFonts w:ascii="Verdana" w:eastAsia="Times New Roman" w:hAnsi="Verdana" w:cs="Times New Roman"/>
          <w:color w:val="000000"/>
          <w:kern w:val="0"/>
          <w:lang w:val="es-CO" w:eastAsia="es-MX"/>
          <w14:ligatures w14:val="none"/>
        </w:rPr>
        <w:t xml:space="preserve">fue derogado en su totalidad desde el 1° de enero de 2020 por el </w:t>
      </w:r>
      <w:hyperlink r:id="rId7" w:history="1">
        <w:r w:rsidRPr="00C0552D">
          <w:rPr>
            <w:rFonts w:ascii="Verdana" w:eastAsia="Times New Roman" w:hAnsi="Verdana" w:cs="Times New Roman"/>
            <w:color w:val="0000FF"/>
            <w:kern w:val="0"/>
            <w:u w:val="single"/>
            <w:lang w:val="es-CO" w:eastAsia="es-MX"/>
            <w14:ligatures w14:val="none"/>
          </w:rPr>
          <w:t>Decreto</w:t>
        </w:r>
      </w:hyperlink>
      <w:r w:rsidRPr="00C0552D">
        <w:rPr>
          <w:rFonts w:ascii="Verdana" w:eastAsia="Times New Roman" w:hAnsi="Verdana" w:cs="Times New Roman"/>
          <w:color w:val="0000FF"/>
          <w:kern w:val="0"/>
          <w:lang w:val="es-CO" w:eastAsia="es-MX"/>
          <w14:ligatures w14:val="none"/>
        </w:rPr>
        <w:t xml:space="preserve"> </w:t>
      </w:r>
      <w:hyperlink r:id="rId8" w:history="1">
        <w:r w:rsidRPr="00C0552D">
          <w:rPr>
            <w:rFonts w:ascii="Verdana" w:eastAsia="Times New Roman" w:hAnsi="Verdana" w:cs="Times New Roman"/>
            <w:color w:val="0000FF"/>
            <w:kern w:val="0"/>
            <w:u w:val="single"/>
            <w:lang w:val="es-CO" w:eastAsia="es-MX"/>
            <w14:ligatures w14:val="none"/>
          </w:rPr>
          <w:t>2270 de 2019</w:t>
        </w:r>
      </w:hyperlink>
      <w:r w:rsidRPr="00C0552D">
        <w:rPr>
          <w:rFonts w:ascii="Verdana" w:eastAsia="Times New Roman" w:hAnsi="Verdana" w:cs="Times New Roman"/>
          <w:color w:val="000000"/>
          <w:kern w:val="0"/>
          <w:lang w:val="es-CO" w:eastAsia="es-MX"/>
          <w14:ligatures w14:val="none"/>
        </w:rPr>
        <w:t xml:space="preserve">, norma que compiló y actualizó los marcos técnicos normativos de información financiera para el Grupo 1 y las normas de aseguramiento de la información, e incorporó el Anexo 6 – 2019 al Decreto Único Reglamentario </w:t>
      </w:r>
      <w:hyperlink r:id="rId9" w:history="1">
        <w:r w:rsidRPr="00C0552D">
          <w:rPr>
            <w:rFonts w:ascii="Verdana" w:eastAsia="Times New Roman" w:hAnsi="Verdana" w:cs="Times New Roman"/>
            <w:color w:val="0000FF"/>
            <w:kern w:val="0"/>
            <w:u w:val="single"/>
            <w:lang w:val="es-CO" w:eastAsia="es-MX"/>
            <w14:ligatures w14:val="none"/>
          </w:rPr>
          <w:t>DUR 2420 de 2015</w:t>
        </w:r>
      </w:hyperlink>
      <w:r w:rsidRPr="00C0552D">
        <w:rPr>
          <w:rFonts w:ascii="Verdana" w:eastAsia="Times New Roman" w:hAnsi="Verdana" w:cs="Times New Roman"/>
          <w:color w:val="000000"/>
          <w:kern w:val="0"/>
          <w:lang w:val="es-CO" w:eastAsia="es-MX"/>
          <w14:ligatures w14:val="none"/>
        </w:rPr>
        <w:t>. En consecuencia, los Principios de Contabilidad Generalmente Aceptados (PCGA) contenidos en el Decreto 2649 de 1993 dejaron de ser el marco técnico aplicable.</w:t>
      </w:r>
    </w:p>
    <w:p w14:paraId="5CDD32D7"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2CF45353"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 xml:space="preserve">En el marco de los estándares incorporados en el </w:t>
      </w:r>
      <w:hyperlink r:id="rId10" w:history="1">
        <w:r w:rsidRPr="00C0552D">
          <w:rPr>
            <w:rFonts w:ascii="Verdana" w:eastAsia="Times New Roman" w:hAnsi="Verdana" w:cs="Times New Roman"/>
            <w:color w:val="0000FF"/>
            <w:kern w:val="0"/>
            <w:u w:val="single"/>
            <w:lang w:val="es-CO" w:eastAsia="es-MX"/>
            <w14:ligatures w14:val="none"/>
          </w:rPr>
          <w:t>DUR 2420 de 2015</w:t>
        </w:r>
      </w:hyperlink>
      <w:r w:rsidRPr="00C0552D">
        <w:rPr>
          <w:rFonts w:ascii="Verdana" w:eastAsia="Times New Roman" w:hAnsi="Verdana" w:cs="Times New Roman"/>
          <w:color w:val="000000"/>
          <w:kern w:val="0"/>
          <w:lang w:val="es-CO" w:eastAsia="es-MX"/>
          <w14:ligatures w14:val="none"/>
        </w:rPr>
        <w:t>, el reconocimiento de los gastos se fundamenta en el principio de devengo, según el cual, los gastos deben reconocerse en el período en que se incurren, independientemente del momento en que se produzcan los flujos de efectivo asociados.</w:t>
      </w:r>
    </w:p>
    <w:p w14:paraId="342D5C3D"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4B3855C5"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Al respecto, los marcos técnicos normativos, incluyendo la NIIF para las PYMES (párrafo 2.36), establecen que una entidad elaborará sus estados financieros utilizando la base contable de acumulación (o devengo), conforme a la cual las partidas se reconocerán como activos, pasivos, patrimonio, ingresos o gastos cuando cumplan las definiciones y los criterios de reconocimiento establecidos para cada una de ellas.</w:t>
      </w:r>
    </w:p>
    <w:p w14:paraId="4B3F3697"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531E1865"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Así mismo, de acuerdo con la definición de gasto contenida en el Marco Conceptual de las NIIF, los gastos son decrementos en los beneficios económicos durante el periodo contable, en forma de salidas o disminuciones del valor de los activos, o incrementos de los pasivos, que dan lugar a disminuciones del patrimonio, distintas de las relacionadas con distribuciones a los propietarios. En este sentido, el reconocimiento del gasto se basa en la ocurrencia del hecho económico y no exclusivamente en la materialización de un flujo de efectivo.</w:t>
      </w:r>
    </w:p>
    <w:p w14:paraId="449AB6DA"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7E65B311"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lastRenderedPageBreak/>
        <w:t>Aplicando el principio de esencia sobre la forma, cuando una empresa que presta directamente un servicio funerario asume internamente un costo operativo (por ejemplo, uso de inventarios, personal propio, activos, servicios internos o recursos ya controlados por la entidad) para cumplir con una obligación frente a un cliente, existe un consumo real de recursos económicos, aun cuando no se genere un pago externo ni un flujo de efectivo hacia terceros.</w:t>
      </w:r>
    </w:p>
    <w:p w14:paraId="1E938645"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1C92B88B"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En consecuencia, desde el punto de vista contable, sí es procedente reconocer el gasto, siempre que:</w:t>
      </w:r>
    </w:p>
    <w:p w14:paraId="43BE7E2B"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7DFB1102" w14:textId="77777777" w:rsidR="00C0552D" w:rsidRPr="00C0552D" w:rsidRDefault="00C0552D" w:rsidP="00C0552D">
      <w:pPr>
        <w:ind w:hanging="567"/>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w:t>
      </w:r>
      <w:r w:rsidRPr="00C0552D">
        <w:rPr>
          <w:rFonts w:ascii="Verdana" w:eastAsia="Times New Roman" w:hAnsi="Verdana" w:cs="Times New Roman"/>
          <w:color w:val="000000"/>
          <w:kern w:val="0"/>
          <w:lang w:val="es-CO" w:eastAsia="es-MX"/>
          <w14:ligatures w14:val="none"/>
        </w:rPr>
        <w:tab/>
        <w:t>el costo sea atribuible al servicio efectivamente prestado;</w:t>
      </w:r>
    </w:p>
    <w:p w14:paraId="23C86E51" w14:textId="77777777" w:rsidR="00C0552D" w:rsidRPr="00C0552D" w:rsidRDefault="00C0552D" w:rsidP="00C0552D">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C0552D">
        <w:rPr>
          <w:rFonts w:ascii="Verdana" w:eastAsia="Times New Roman" w:hAnsi="Verdana" w:cs="Times New Roman"/>
          <w:color w:val="000000"/>
          <w:kern w:val="0"/>
          <w:lang w:val="es-CO" w:eastAsia="es-MX"/>
          <w14:ligatures w14:val="none"/>
        </w:rPr>
        <w:t>exista evidencia del consumo de recursos (materiales, mano de obra, depreciación, uso de inventarios, etc.);</w:t>
      </w:r>
    </w:p>
    <w:p w14:paraId="5B3CE52D" w14:textId="77777777" w:rsidR="00C0552D" w:rsidRPr="00C0552D" w:rsidRDefault="00C0552D" w:rsidP="00C0552D">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C0552D">
        <w:rPr>
          <w:rFonts w:ascii="Verdana" w:eastAsia="Times New Roman" w:hAnsi="Verdana" w:cs="Times New Roman"/>
          <w:color w:val="000000"/>
          <w:kern w:val="0"/>
          <w:lang w:val="es-CO" w:eastAsia="es-MX"/>
          <w14:ligatures w14:val="none"/>
        </w:rPr>
        <w:t>el reconocimiento permita una representación fiel del desempeño financiero del periodo.</w:t>
      </w:r>
    </w:p>
    <w:p w14:paraId="4A30E1B0"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504EFDD2"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El hecho de que la operación sea “interna” no desvirtúa la realidad económica del gasto, siempre que no se trate de una simple reclasificación contable sin sustancia económica.</w:t>
      </w:r>
    </w:p>
    <w:p w14:paraId="016C35D0"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2F591BD8"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Finalmente, se precisa que no corresponde al CTCP pronunciarse sobre asuntos de naturaleza fiscal, tales como la procedencia o aceptación fiscal de los gastos reconocidos contablemente, sin erogación o salida de recursos económicos.</w:t>
      </w:r>
    </w:p>
    <w:p w14:paraId="088DF88D"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4984F859"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0D385C98"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4644DE74"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Cordialmente,</w:t>
      </w:r>
    </w:p>
    <w:p w14:paraId="5B16DA8F"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16CB98A9" w14:textId="77777777" w:rsidR="00C0552D" w:rsidRPr="00C0552D" w:rsidRDefault="00C0552D" w:rsidP="00C0552D">
      <w:pPr>
        <w:jc w:val="both"/>
        <w:outlineLvl w:val="0"/>
        <w:rPr>
          <w:rFonts w:ascii="Times New Roman" w:eastAsia="Times New Roman" w:hAnsi="Times New Roman" w:cs="Times New Roman"/>
          <w:b/>
          <w:bCs/>
          <w:kern w:val="36"/>
          <w:sz w:val="48"/>
          <w:szCs w:val="48"/>
          <w:lang w:val="es-CO" w:eastAsia="es-MX"/>
          <w14:ligatures w14:val="none"/>
        </w:rPr>
      </w:pPr>
      <w:r w:rsidRPr="00C0552D">
        <w:rPr>
          <w:rFonts w:ascii="Verdana" w:eastAsia="Times New Roman" w:hAnsi="Verdana" w:cs="Times New Roman"/>
          <w:b/>
          <w:bCs/>
          <w:color w:val="000000"/>
          <w:kern w:val="36"/>
          <w:lang w:val="es-CO" w:eastAsia="es-MX"/>
          <w14:ligatures w14:val="none"/>
        </w:rPr>
        <w:t>JORGE HERNANDO RODRÍGUEZ HERRERA</w:t>
      </w:r>
    </w:p>
    <w:p w14:paraId="1BAC56C6" w14:textId="77777777" w:rsidR="00C0552D" w:rsidRPr="00C0552D" w:rsidRDefault="00C0552D" w:rsidP="00C0552D">
      <w:pPr>
        <w:jc w:val="both"/>
        <w:rPr>
          <w:rFonts w:ascii="Times New Roman" w:eastAsia="Times New Roman" w:hAnsi="Times New Roman" w:cs="Times New Roman"/>
          <w:kern w:val="0"/>
          <w:lang w:val="es-CO" w:eastAsia="es-MX"/>
          <w14:ligatures w14:val="none"/>
        </w:rPr>
      </w:pPr>
      <w:r w:rsidRPr="00C0552D">
        <w:rPr>
          <w:rFonts w:ascii="Verdana" w:eastAsia="Times New Roman" w:hAnsi="Verdana" w:cs="Times New Roman"/>
          <w:color w:val="000000"/>
          <w:kern w:val="0"/>
          <w:lang w:val="es-CO" w:eastAsia="es-MX"/>
          <w14:ligatures w14:val="none"/>
        </w:rPr>
        <w:t>Consejero – CTCP</w:t>
      </w:r>
    </w:p>
    <w:p w14:paraId="3D89B96E" w14:textId="77777777" w:rsidR="00C0552D" w:rsidRPr="00C0552D" w:rsidRDefault="00C0552D" w:rsidP="00C0552D">
      <w:pPr>
        <w:rPr>
          <w:rFonts w:ascii="Times New Roman" w:eastAsia="Times New Roman" w:hAnsi="Times New Roman" w:cs="Times New Roman"/>
          <w:kern w:val="0"/>
          <w:lang w:val="es-CO" w:eastAsia="es-MX"/>
          <w14:ligatures w14:val="none"/>
        </w:rPr>
      </w:pPr>
    </w:p>
    <w:p w14:paraId="3F03D65F"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457521"/>
    <w:multiLevelType w:val="multilevel"/>
    <w:tmpl w:val="7916A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9413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52D"/>
    <w:rsid w:val="000B2285"/>
    <w:rsid w:val="00537D8F"/>
    <w:rsid w:val="008C61E1"/>
    <w:rsid w:val="00B83A7B"/>
    <w:rsid w:val="00C0552D"/>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AF2EA2B"/>
  <w14:defaultImageDpi w14:val="32767"/>
  <w15:chartTrackingRefBased/>
  <w15:docId w15:val="{7D78C878-0A9D-6D45-A189-A82A08D8F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055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055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0552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0552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0552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0552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0552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0552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0552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0552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0552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0552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0552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0552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0552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0552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0552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0552D"/>
    <w:rPr>
      <w:rFonts w:eastAsiaTheme="majorEastAsia" w:cstheme="majorBidi"/>
      <w:color w:val="272727" w:themeColor="text1" w:themeTint="D8"/>
    </w:rPr>
  </w:style>
  <w:style w:type="paragraph" w:styleId="Ttulo">
    <w:name w:val="Title"/>
    <w:basedOn w:val="Normal"/>
    <w:next w:val="Normal"/>
    <w:link w:val="TtuloCar"/>
    <w:uiPriority w:val="10"/>
    <w:qFormat/>
    <w:rsid w:val="00C0552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0552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0552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0552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0552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0552D"/>
    <w:rPr>
      <w:i/>
      <w:iCs/>
      <w:color w:val="404040" w:themeColor="text1" w:themeTint="BF"/>
    </w:rPr>
  </w:style>
  <w:style w:type="paragraph" w:styleId="Prrafodelista">
    <w:name w:val="List Paragraph"/>
    <w:basedOn w:val="Normal"/>
    <w:uiPriority w:val="34"/>
    <w:qFormat/>
    <w:rsid w:val="00C0552D"/>
    <w:pPr>
      <w:ind w:left="720"/>
      <w:contextualSpacing/>
    </w:pPr>
  </w:style>
  <w:style w:type="character" w:styleId="nfasisintenso">
    <w:name w:val="Intense Emphasis"/>
    <w:basedOn w:val="Fuentedeprrafopredeter"/>
    <w:uiPriority w:val="21"/>
    <w:qFormat/>
    <w:rsid w:val="00C0552D"/>
    <w:rPr>
      <w:i/>
      <w:iCs/>
      <w:color w:val="2F5496" w:themeColor="accent1" w:themeShade="BF"/>
    </w:rPr>
  </w:style>
  <w:style w:type="paragraph" w:styleId="Citadestacada">
    <w:name w:val="Intense Quote"/>
    <w:basedOn w:val="Normal"/>
    <w:next w:val="Normal"/>
    <w:link w:val="CitadestacadaCar"/>
    <w:uiPriority w:val="30"/>
    <w:qFormat/>
    <w:rsid w:val="00C0552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0552D"/>
    <w:rPr>
      <w:i/>
      <w:iCs/>
      <w:color w:val="2F5496" w:themeColor="accent1" w:themeShade="BF"/>
    </w:rPr>
  </w:style>
  <w:style w:type="character" w:styleId="Referenciaintensa">
    <w:name w:val="Intense Reference"/>
    <w:basedOn w:val="Fuentedeprrafopredeter"/>
    <w:uiPriority w:val="32"/>
    <w:qFormat/>
    <w:rsid w:val="00C0552D"/>
    <w:rPr>
      <w:b/>
      <w:bCs/>
      <w:smallCaps/>
      <w:color w:val="2F5496" w:themeColor="accent1" w:themeShade="BF"/>
      <w:spacing w:val="5"/>
    </w:rPr>
  </w:style>
  <w:style w:type="paragraph" w:styleId="NormalWeb">
    <w:name w:val="Normal (Web)"/>
    <w:basedOn w:val="Normal"/>
    <w:uiPriority w:val="99"/>
    <w:semiHidden/>
    <w:unhideWhenUsed/>
    <w:rsid w:val="00C0552D"/>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C0552D"/>
    <w:rPr>
      <w:color w:val="0000FF"/>
      <w:u w:val="single"/>
    </w:rPr>
  </w:style>
  <w:style w:type="character" w:customStyle="1" w:styleId="apple-tab-span">
    <w:name w:val="apple-tab-span"/>
    <w:basedOn w:val="Fuentedeprrafopredeter"/>
    <w:rsid w:val="00C055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in-juriscol.gov.co/viewDocument.asp?id=30038628" TargetMode="External"/><Relationship Id="rId3" Type="http://schemas.openxmlformats.org/officeDocument/2006/relationships/settings" Target="settings.xml"/><Relationship Id="rId7" Type="http://schemas.openxmlformats.org/officeDocument/2006/relationships/hyperlink" Target="https://www.suin-juriscol.gov.co/viewDocument.asp?id=30038628"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uin-juriscol.gov.co/viewDocument.asp?ruta=Decretos/1476299" TargetMode="External"/><Relationship Id="rId11" Type="http://schemas.openxmlformats.org/officeDocument/2006/relationships/fontTable" Target="fontTable.xml"/><Relationship Id="rId5" Type="http://schemas.openxmlformats.org/officeDocument/2006/relationships/hyperlink" Target="https://www.suin-juriscol.gov.co/viewDocument.asp?ruta=Decretos/1476299" TargetMode="External"/><Relationship Id="rId10" Type="http://schemas.openxmlformats.org/officeDocument/2006/relationships/hyperlink" Target="https://www.ctcp.gov.co/publicaciones-ctcp/compilaciones-normativas/anexo-4-del-dur-2420-de-2015-normas-internacionale/compilacion-anexo-4-a-diciembre-31-de-2020-norma-i" TargetMode="External"/><Relationship Id="rId4" Type="http://schemas.openxmlformats.org/officeDocument/2006/relationships/webSettings" Target="webSettings.xml"/><Relationship Id="rId9" Type="http://schemas.openxmlformats.org/officeDocument/2006/relationships/hyperlink" Target="https://www.ctcp.gov.co/publicaciones-ctcp/compilaciones-normativas/anexo-4-del-dur-2420-de-2015-normas-internacionale/compilacion-anexo-4-a-diciembre-31-de-2020-norma-i"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948</Words>
  <Characters>5217</Characters>
  <Application>Microsoft Office Word</Application>
  <DocSecurity>0</DocSecurity>
  <Lines>43</Lines>
  <Paragraphs>12</Paragraphs>
  <ScaleCrop>false</ScaleCrop>
  <Company/>
  <LinksUpToDate>false</LinksUpToDate>
  <CharactersWithSpaces>6153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2026-01-08T16:29:00Z</dcterms:created>
  <dcterms:modified xsi:type="dcterms:W3CDTF">2026-01-08T16:30:00Z</dcterms:modified>
</cp:coreProperties>
</file>